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F17E89" w:rsidRPr="00F17E89" w:rsidTr="00F17E89">
        <w:trPr>
          <w:jc w:val="center"/>
        </w:trPr>
        <w:tc>
          <w:tcPr>
            <w:tcW w:w="3348" w:type="dxa"/>
            <w:tcBorders>
              <w:top w:val="nil"/>
              <w:left w:val="nil"/>
              <w:bottom w:val="nil"/>
              <w:right w:val="nil"/>
            </w:tcBorders>
            <w:tcMar>
              <w:top w:w="0" w:type="dxa"/>
              <w:left w:w="108" w:type="dxa"/>
              <w:bottom w:w="0" w:type="dxa"/>
              <w:right w:w="108" w:type="dxa"/>
            </w:tcMar>
            <w:hideMark/>
          </w:tcPr>
          <w:p w:rsidR="00F17E89" w:rsidRPr="00F17E89" w:rsidRDefault="00F17E89" w:rsidP="00F17E89">
            <w:pPr>
              <w:spacing w:before="120" w:after="0" w:line="240" w:lineRule="auto"/>
              <w:jc w:val="center"/>
              <w:rPr>
                <w:rFonts w:eastAsia="Times New Roman" w:cs="Times New Roman"/>
                <w:szCs w:val="24"/>
                <w:lang w:eastAsia="vi-VN"/>
              </w:rPr>
            </w:pPr>
            <w:r w:rsidRPr="00F17E89">
              <w:rPr>
                <w:rFonts w:eastAsia="Times New Roman" w:cs="Times New Roman"/>
                <w:b/>
                <w:bCs/>
                <w:szCs w:val="24"/>
                <w:lang w:eastAsia="vi-VN"/>
              </w:rPr>
              <w:t>BỘ TÀI CHÍNH</w:t>
            </w:r>
            <w:r w:rsidRPr="00F17E89">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F17E89" w:rsidRPr="00F17E89" w:rsidRDefault="00F17E89" w:rsidP="00F17E89">
            <w:pPr>
              <w:spacing w:before="120" w:after="0" w:line="240" w:lineRule="auto"/>
              <w:jc w:val="center"/>
              <w:rPr>
                <w:rFonts w:eastAsia="Times New Roman" w:cs="Times New Roman"/>
                <w:szCs w:val="24"/>
                <w:lang w:eastAsia="vi-VN"/>
              </w:rPr>
            </w:pPr>
            <w:r w:rsidRPr="00F17E89">
              <w:rPr>
                <w:rFonts w:eastAsia="Times New Roman" w:cs="Times New Roman"/>
                <w:b/>
                <w:bCs/>
                <w:szCs w:val="24"/>
                <w:lang w:eastAsia="vi-VN"/>
              </w:rPr>
              <w:t>CỘNG HÒA XÃ HỘI CHỦ NGHĨA VIỆT NAM</w:t>
            </w:r>
            <w:r w:rsidRPr="00F17E89">
              <w:rPr>
                <w:rFonts w:eastAsia="Times New Roman" w:cs="Times New Roman"/>
                <w:b/>
                <w:bCs/>
                <w:szCs w:val="24"/>
                <w:lang w:eastAsia="vi-VN"/>
              </w:rPr>
              <w:br/>
              <w:t xml:space="preserve">Độc lập - Tự do - Hạnh phúc </w:t>
            </w:r>
            <w:r w:rsidRPr="00F17E89">
              <w:rPr>
                <w:rFonts w:eastAsia="Times New Roman" w:cs="Times New Roman"/>
                <w:b/>
                <w:bCs/>
                <w:szCs w:val="24"/>
                <w:lang w:eastAsia="vi-VN"/>
              </w:rPr>
              <w:br/>
              <w:t>---------------</w:t>
            </w:r>
          </w:p>
        </w:tc>
      </w:tr>
      <w:tr w:rsidR="00F17E89" w:rsidRPr="00F17E89" w:rsidTr="00F17E89">
        <w:trPr>
          <w:jc w:val="center"/>
        </w:trPr>
        <w:tc>
          <w:tcPr>
            <w:tcW w:w="3348" w:type="dxa"/>
            <w:tcBorders>
              <w:top w:val="nil"/>
              <w:left w:val="nil"/>
              <w:bottom w:val="nil"/>
              <w:right w:val="nil"/>
            </w:tcBorders>
            <w:tcMar>
              <w:top w:w="0" w:type="dxa"/>
              <w:left w:w="108" w:type="dxa"/>
              <w:bottom w:w="0" w:type="dxa"/>
              <w:right w:w="108" w:type="dxa"/>
            </w:tcMar>
            <w:hideMark/>
          </w:tcPr>
          <w:p w:rsidR="00F17E89" w:rsidRPr="00F17E89" w:rsidRDefault="00F17E89" w:rsidP="00F17E89">
            <w:pPr>
              <w:spacing w:before="120" w:after="0" w:line="240" w:lineRule="auto"/>
              <w:jc w:val="center"/>
              <w:rPr>
                <w:rFonts w:eastAsia="Times New Roman" w:cs="Times New Roman"/>
                <w:szCs w:val="24"/>
                <w:lang w:eastAsia="vi-VN"/>
              </w:rPr>
            </w:pPr>
            <w:r w:rsidRPr="00F17E89">
              <w:rPr>
                <w:rFonts w:eastAsia="Times New Roman" w:cs="Times New Roman"/>
                <w:szCs w:val="24"/>
                <w:lang w:eastAsia="vi-VN"/>
              </w:rPr>
              <w:t>Số: 53/2016/TT-BTC</w:t>
            </w:r>
          </w:p>
        </w:tc>
        <w:tc>
          <w:tcPr>
            <w:tcW w:w="5508" w:type="dxa"/>
            <w:tcBorders>
              <w:top w:val="nil"/>
              <w:left w:val="nil"/>
              <w:bottom w:val="nil"/>
              <w:right w:val="nil"/>
            </w:tcBorders>
            <w:tcMar>
              <w:top w:w="0" w:type="dxa"/>
              <w:left w:w="108" w:type="dxa"/>
              <w:bottom w:w="0" w:type="dxa"/>
              <w:right w:w="108" w:type="dxa"/>
            </w:tcMar>
            <w:hideMark/>
          </w:tcPr>
          <w:p w:rsidR="00F17E89" w:rsidRPr="00F17E89" w:rsidRDefault="00F17E89" w:rsidP="00F17E89">
            <w:pPr>
              <w:spacing w:before="120" w:after="0" w:line="240" w:lineRule="auto"/>
              <w:jc w:val="right"/>
              <w:rPr>
                <w:rFonts w:eastAsia="Times New Roman" w:cs="Times New Roman"/>
                <w:szCs w:val="24"/>
                <w:lang w:eastAsia="vi-VN"/>
              </w:rPr>
            </w:pPr>
            <w:r w:rsidRPr="00F17E89">
              <w:rPr>
                <w:rFonts w:eastAsia="Times New Roman" w:cs="Times New Roman"/>
                <w:i/>
                <w:iCs/>
                <w:szCs w:val="24"/>
                <w:lang w:eastAsia="vi-VN"/>
              </w:rPr>
              <w:t>Hà Nội, ngày 21 tháng 03 năm 2016</w:t>
            </w:r>
          </w:p>
        </w:tc>
      </w:tr>
    </w:tbl>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b/>
          <w:bCs/>
          <w:szCs w:val="24"/>
          <w:lang w:eastAsia="vi-VN"/>
        </w:rPr>
        <w:t> </w:t>
      </w:r>
    </w:p>
    <w:p w:rsidR="00F17E89" w:rsidRPr="00F17E89" w:rsidRDefault="00F17E89" w:rsidP="00F17E89">
      <w:pPr>
        <w:spacing w:before="120" w:after="100" w:afterAutospacing="1" w:line="240" w:lineRule="auto"/>
        <w:jc w:val="center"/>
        <w:rPr>
          <w:rFonts w:eastAsia="Times New Roman" w:cs="Times New Roman"/>
          <w:szCs w:val="24"/>
          <w:lang w:eastAsia="vi-VN"/>
        </w:rPr>
      </w:pPr>
      <w:r w:rsidRPr="00F17E89">
        <w:rPr>
          <w:rFonts w:eastAsia="Times New Roman" w:cs="Times New Roman"/>
          <w:b/>
          <w:bCs/>
          <w:szCs w:val="24"/>
          <w:lang w:eastAsia="vi-VN"/>
        </w:rPr>
        <w:t>THÔNG TƯ</w:t>
      </w:r>
    </w:p>
    <w:p w:rsidR="00F17E89" w:rsidRPr="00F17E89" w:rsidRDefault="00F17E89" w:rsidP="00F17E89">
      <w:pPr>
        <w:spacing w:before="120" w:after="100" w:afterAutospacing="1" w:line="240" w:lineRule="auto"/>
        <w:jc w:val="center"/>
        <w:rPr>
          <w:rFonts w:eastAsia="Times New Roman" w:cs="Times New Roman"/>
          <w:szCs w:val="24"/>
          <w:lang w:eastAsia="vi-VN"/>
        </w:rPr>
      </w:pPr>
      <w:r w:rsidRPr="00F17E89">
        <w:rPr>
          <w:rFonts w:eastAsia="Times New Roman" w:cs="Times New Roman"/>
          <w:szCs w:val="24"/>
          <w:lang w:eastAsia="vi-VN"/>
        </w:rPr>
        <w:t>SỬA ĐỔI, BỔ SUNG MỘT SỐ ĐIỀU CỦA THÔNG TƯ SỐ 200/2014/TT-BTC NGÀY 22/12/2014 CỦA BỘ TÀI CHÍNH HƯỚNG DẪN CHẾ ĐỘ KẾ TOÁN DOANH NGHIỆP</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Căn cứ Luật Kế toán ngày 17 tháng 06 năm 2003;</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Căn cứ </w:t>
      </w:r>
      <w:r w:rsidRPr="00F17E89">
        <w:rPr>
          <w:rFonts w:eastAsia="Times New Roman" w:cs="Times New Roman"/>
          <w:i/>
          <w:iCs/>
          <w:szCs w:val="24"/>
          <w:shd w:val="solid" w:color="FFFFFF" w:fill="auto"/>
          <w:lang w:eastAsia="vi-VN"/>
        </w:rPr>
        <w:t>Nghị định số</w:t>
      </w:r>
      <w:r w:rsidRPr="00F17E89">
        <w:rPr>
          <w:rFonts w:eastAsia="Times New Roman" w:cs="Times New Roman"/>
          <w:i/>
          <w:iCs/>
          <w:szCs w:val="24"/>
          <w:lang w:eastAsia="vi-VN"/>
        </w:rPr>
        <w:t xml:space="preserve"> 129/2004/NĐ-CP ngày 31 </w:t>
      </w:r>
      <w:r w:rsidRPr="00F17E89">
        <w:rPr>
          <w:rFonts w:eastAsia="Times New Roman" w:cs="Times New Roman"/>
          <w:i/>
          <w:iCs/>
          <w:szCs w:val="24"/>
          <w:shd w:val="solid" w:color="FFFFFF" w:fill="auto"/>
          <w:lang w:eastAsia="vi-VN"/>
        </w:rPr>
        <w:t>tháng</w:t>
      </w:r>
      <w:r w:rsidRPr="00F17E89">
        <w:rPr>
          <w:rFonts w:eastAsia="Times New Roman" w:cs="Times New Roman"/>
          <w:i/>
          <w:iCs/>
          <w:szCs w:val="24"/>
          <w:lang w:eastAsia="vi-VN"/>
        </w:rPr>
        <w:t xml:space="preserve"> 05 năm 2004 của Chính phủ quy định chi tiết và hướng dẫn thi hành một số Điều của Luật </w:t>
      </w:r>
      <w:r w:rsidRPr="00F17E89">
        <w:rPr>
          <w:rFonts w:eastAsia="Times New Roman" w:cs="Times New Roman"/>
          <w:i/>
          <w:iCs/>
          <w:szCs w:val="24"/>
          <w:shd w:val="solid" w:color="FFFFFF" w:fill="auto"/>
          <w:lang w:eastAsia="vi-VN"/>
        </w:rPr>
        <w:t>Kế toán</w:t>
      </w:r>
      <w:r w:rsidRPr="00F17E89">
        <w:rPr>
          <w:rFonts w:eastAsia="Times New Roman" w:cs="Times New Roman"/>
          <w:i/>
          <w:iCs/>
          <w:szCs w:val="24"/>
          <w:lang w:eastAsia="vi-VN"/>
        </w:rPr>
        <w:t xml:space="preserve"> trong hoạt động kinh doanh;</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Căn cứ Nghị định số 215/2013/NĐ-CP ngày 13 tháng 12 năm 2013 của Chính phủ quy định chức năng, nhiệm vụ, quyền hạn và </w:t>
      </w:r>
      <w:r w:rsidRPr="00F17E89">
        <w:rPr>
          <w:rFonts w:eastAsia="Times New Roman" w:cs="Times New Roman"/>
          <w:i/>
          <w:iCs/>
          <w:szCs w:val="24"/>
          <w:shd w:val="solid" w:color="FFFFFF" w:fill="auto"/>
          <w:lang w:eastAsia="vi-VN"/>
        </w:rPr>
        <w:t>cơ cấu</w:t>
      </w:r>
      <w:r w:rsidRPr="00F17E89">
        <w:rPr>
          <w:rFonts w:eastAsia="Times New Roman" w:cs="Times New Roman"/>
          <w:i/>
          <w:iCs/>
          <w:szCs w:val="24"/>
          <w:lang w:eastAsia="vi-VN"/>
        </w:rPr>
        <w:t xml:space="preserve"> </w:t>
      </w:r>
      <w:r w:rsidRPr="00F17E89">
        <w:rPr>
          <w:rFonts w:eastAsia="Times New Roman" w:cs="Times New Roman"/>
          <w:i/>
          <w:iCs/>
          <w:szCs w:val="24"/>
          <w:shd w:val="solid" w:color="FFFFFF" w:fill="auto"/>
          <w:lang w:eastAsia="vi-VN"/>
        </w:rPr>
        <w:t>tổ chức</w:t>
      </w:r>
      <w:r w:rsidRPr="00F17E89">
        <w:rPr>
          <w:rFonts w:eastAsia="Times New Roman" w:cs="Times New Roman"/>
          <w:i/>
          <w:iCs/>
          <w:szCs w:val="24"/>
          <w:lang w:eastAsia="vi-VN"/>
        </w:rPr>
        <w:t xml:space="preserve"> của Bộ Tài chính;</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Theo đề nghị của Vụ trưởng Vụ Chế độ kế toán và kiểm toán,</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Bộ trưởng Bộ Tài chính ban hành Thông tư sửa đổi, bổ sung một số Điều của Thông tư số 200/2014/TT-BTC ngày 22/12/2014 hướng dẫn Chế độ kế toán doanh nghiệp,</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b/>
          <w:bCs/>
          <w:szCs w:val="24"/>
          <w:lang w:eastAsia="vi-VN"/>
        </w:rPr>
        <w:t>Điều 1. Sửa đổi, bổ sung một số Điều của Thông tư số 200/2014/TT-BTC như sau:</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szCs w:val="24"/>
          <w:lang w:eastAsia="vi-VN"/>
        </w:rPr>
        <w:t xml:space="preserve">1. </w:t>
      </w:r>
      <w:bookmarkStart w:id="0" w:name="dc_13"/>
      <w:r w:rsidRPr="00F17E89">
        <w:rPr>
          <w:rFonts w:eastAsia="Times New Roman" w:cs="Times New Roman"/>
          <w:szCs w:val="24"/>
          <w:lang w:eastAsia="vi-VN"/>
        </w:rPr>
        <w:t>Điểm g Khoản 1 Điều 15 Thông tư số 200/2014/TT-BTC</w:t>
      </w:r>
      <w:bookmarkEnd w:id="0"/>
      <w:r w:rsidRPr="00F17E89">
        <w:rPr>
          <w:rFonts w:eastAsia="Times New Roman" w:cs="Times New Roman"/>
          <w:szCs w:val="24"/>
          <w:lang w:eastAsia="vi-VN"/>
        </w:rPr>
        <w:t xml:space="preserve"> được sửa đổi, bổ sung như sau:</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“g) Khi thanh lý, nhượng bán chứng k</w:t>
      </w:r>
      <w:r w:rsidRPr="00F17E89">
        <w:rPr>
          <w:rFonts w:eastAsia="Times New Roman" w:cs="Times New Roman"/>
          <w:i/>
          <w:iCs/>
          <w:szCs w:val="24"/>
          <w:shd w:val="solid" w:color="FFFFFF" w:fill="auto"/>
          <w:lang w:eastAsia="vi-VN"/>
        </w:rPr>
        <w:t>hoán</w:t>
      </w:r>
      <w:r w:rsidRPr="00F17E89">
        <w:rPr>
          <w:rFonts w:eastAsia="Times New Roman" w:cs="Times New Roman"/>
          <w:i/>
          <w:iCs/>
          <w:szCs w:val="24"/>
          <w:lang w:eastAsia="vi-VN"/>
        </w:rPr>
        <w:t xml:space="preserve"> kinh doanh (tính theo từng loại chứng k</w:t>
      </w:r>
      <w:r w:rsidRPr="00F17E89">
        <w:rPr>
          <w:rFonts w:eastAsia="Times New Roman" w:cs="Times New Roman"/>
          <w:i/>
          <w:iCs/>
          <w:szCs w:val="24"/>
          <w:shd w:val="solid" w:color="FFFFFF" w:fill="auto"/>
          <w:lang w:eastAsia="vi-VN"/>
        </w:rPr>
        <w:t>hoán</w:t>
      </w:r>
      <w:r w:rsidRPr="00F17E89">
        <w:rPr>
          <w:rFonts w:eastAsia="Times New Roman" w:cs="Times New Roman"/>
          <w:i/>
          <w:iCs/>
          <w:szCs w:val="24"/>
          <w:lang w:eastAsia="vi-VN"/>
        </w:rPr>
        <w:t>), giá vốn của chứng k</w:t>
      </w:r>
      <w:r w:rsidRPr="00F17E89">
        <w:rPr>
          <w:rFonts w:eastAsia="Times New Roman" w:cs="Times New Roman"/>
          <w:i/>
          <w:iCs/>
          <w:szCs w:val="24"/>
          <w:shd w:val="solid" w:color="FFFFFF" w:fill="auto"/>
          <w:lang w:eastAsia="vi-VN"/>
        </w:rPr>
        <w:t>hoán</w:t>
      </w:r>
      <w:r w:rsidRPr="00F17E89">
        <w:rPr>
          <w:rFonts w:eastAsia="Times New Roman" w:cs="Times New Roman"/>
          <w:i/>
          <w:iCs/>
          <w:szCs w:val="24"/>
          <w:lang w:eastAsia="vi-VN"/>
        </w:rPr>
        <w:t xml:space="preserve"> kinh doanh được xác định theo một trong các phương pháp nhập trước xuất trước hoặc bình quân gia quyền.</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Doanh nghiệp phải áp dụng nhất quán phương pháp đã chọn để tính giá vốn của chứng k</w:t>
      </w:r>
      <w:r w:rsidRPr="00F17E89">
        <w:rPr>
          <w:rFonts w:eastAsia="Times New Roman" w:cs="Times New Roman"/>
          <w:i/>
          <w:iCs/>
          <w:szCs w:val="24"/>
          <w:shd w:val="solid" w:color="FFFFFF" w:fill="auto"/>
          <w:lang w:eastAsia="vi-VN"/>
        </w:rPr>
        <w:t>hoán</w:t>
      </w:r>
      <w:r w:rsidRPr="00F17E89">
        <w:rPr>
          <w:rFonts w:eastAsia="Times New Roman" w:cs="Times New Roman"/>
          <w:i/>
          <w:iCs/>
          <w:szCs w:val="24"/>
          <w:lang w:eastAsia="vi-VN"/>
        </w:rPr>
        <w:t xml:space="preserve"> kinh doanh trong năm tài chính. Trường hợp thay đổi phương pháp tính giá vốn của chứng k</w:t>
      </w:r>
      <w:r w:rsidRPr="00F17E89">
        <w:rPr>
          <w:rFonts w:eastAsia="Times New Roman" w:cs="Times New Roman"/>
          <w:i/>
          <w:iCs/>
          <w:szCs w:val="24"/>
          <w:shd w:val="solid" w:color="FFFFFF" w:fill="auto"/>
          <w:lang w:eastAsia="vi-VN"/>
        </w:rPr>
        <w:t>hoán</w:t>
      </w:r>
      <w:r w:rsidRPr="00F17E89">
        <w:rPr>
          <w:rFonts w:eastAsia="Times New Roman" w:cs="Times New Roman"/>
          <w:i/>
          <w:iCs/>
          <w:szCs w:val="24"/>
          <w:lang w:eastAsia="vi-VN"/>
        </w:rPr>
        <w:t xml:space="preserve"> kinh doanh, doanh nghiệp phải trình bày và thuyết minh theo quy định của chuẩn mực kế toán”.</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szCs w:val="24"/>
          <w:lang w:eastAsia="vi-VN"/>
        </w:rPr>
        <w:t xml:space="preserve">2. Thay cụm từ “giá vốn bình quân gia quyền” và “giá trị ghi sổ của cổ phiếu mang đi trao đổi tính theo phương pháp bình quân gia quyền” bằng cụm từ “giá vốn tại </w:t>
      </w:r>
      <w:bookmarkStart w:id="1" w:name="dc_14"/>
      <w:r w:rsidRPr="00F17E89">
        <w:rPr>
          <w:rFonts w:eastAsia="Times New Roman" w:cs="Times New Roman"/>
          <w:szCs w:val="24"/>
          <w:lang w:eastAsia="vi-VN"/>
        </w:rPr>
        <w:t>Điểm d và Điểm e Khoản 3 Điều 15 Thông tư số 200/2014/TT-BTC</w:t>
      </w:r>
      <w:bookmarkEnd w:id="1"/>
      <w:r w:rsidRPr="00F17E89">
        <w:rPr>
          <w:rFonts w:eastAsia="Times New Roman" w:cs="Times New Roman"/>
          <w:szCs w:val="24"/>
          <w:lang w:eastAsia="vi-VN"/>
        </w:rPr>
        <w:t>.</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szCs w:val="24"/>
          <w:lang w:eastAsia="vi-VN"/>
        </w:rPr>
        <w:t xml:space="preserve">3. </w:t>
      </w:r>
      <w:bookmarkStart w:id="2" w:name="dc_15"/>
      <w:r w:rsidRPr="00F17E89">
        <w:rPr>
          <w:rFonts w:eastAsia="Times New Roman" w:cs="Times New Roman"/>
          <w:szCs w:val="24"/>
          <w:lang w:eastAsia="vi-VN"/>
        </w:rPr>
        <w:t xml:space="preserve">Khoản 1.3 Điều 69 Thông tư số 200/2014/TT-BTC </w:t>
      </w:r>
      <w:bookmarkEnd w:id="2"/>
      <w:r w:rsidRPr="00F17E89">
        <w:rPr>
          <w:rFonts w:eastAsia="Times New Roman" w:cs="Times New Roman"/>
          <w:szCs w:val="24"/>
          <w:lang w:eastAsia="vi-VN"/>
        </w:rPr>
        <w:t>được sửa đổi, bổ sung như sau:</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“1.3. Nguyên tắc xác định tỷ giá hối đoái: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a) Tỷ giá giao dịch thực tế đối với các giao dịch bằng ngoại tệ phát sinh trong kỳ:</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lastRenderedPageBreak/>
        <w:t xml:space="preserve">- Tỷ giá giao dịch thực tế khi mua bán ngoại tệ (hợp đồng mua bán ngoại tệ giao ngay, hợp đồng kỳ hạn, hợp đồng tương lai, hợp đồng quyền chọn, </w:t>
      </w:r>
      <w:r w:rsidRPr="00F17E89">
        <w:rPr>
          <w:rFonts w:eastAsia="Times New Roman" w:cs="Times New Roman"/>
          <w:i/>
          <w:iCs/>
          <w:szCs w:val="24"/>
          <w:shd w:val="solid" w:color="FFFFFF" w:fill="auto"/>
          <w:lang w:eastAsia="vi-VN"/>
        </w:rPr>
        <w:t>hợp đồng</w:t>
      </w:r>
      <w:r w:rsidRPr="00F17E89">
        <w:rPr>
          <w:rFonts w:eastAsia="Times New Roman" w:cs="Times New Roman"/>
          <w:i/>
          <w:iCs/>
          <w:szCs w:val="24"/>
          <w:lang w:eastAsia="vi-VN"/>
        </w:rPr>
        <w:t xml:space="preserve"> </w:t>
      </w:r>
      <w:r w:rsidRPr="00F17E89">
        <w:rPr>
          <w:rFonts w:eastAsia="Times New Roman" w:cs="Times New Roman"/>
          <w:i/>
          <w:iCs/>
          <w:szCs w:val="24"/>
          <w:shd w:val="solid" w:color="FFFFFF" w:fill="auto"/>
          <w:lang w:eastAsia="vi-VN"/>
        </w:rPr>
        <w:t>hoán</w:t>
      </w:r>
      <w:r w:rsidRPr="00F17E89">
        <w:rPr>
          <w:rFonts w:eastAsia="Times New Roman" w:cs="Times New Roman"/>
          <w:i/>
          <w:iCs/>
          <w:szCs w:val="24"/>
          <w:lang w:eastAsia="vi-VN"/>
        </w:rPr>
        <w:t xml:space="preserve"> đổi): Là tỷ giá ký kết trong hợp đồng mua, bán ngoại tệ giữa doanh nghiệp và ngân hàng thương mại;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Trường hợp hợp đồng không quy định cụ thể tỷ giá thanh toán:</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 Doanh nghiệp ghi sổ kế toán theo tỷ giá giao dịch thực tế: Khi ghi nhận Khoản góp vốn hoặc nhận vốn góp là tỷ giá mua ngoại tệ của ngân hàng nơi doanh nghiệp mở tài Khoản để nhận vốn của nhà đầu tư tại ngày góp vốn; Khi ghi nhận nợ phải thu là tỷ giá mua của ngân hàng thương mại nơi doanh nghiệp chỉ định khách hàng thanh toán tại thời Điểm giao dịch; Khi ghi nhận nợ phải trả là tỷ giá bán của ngân hàng thương mại nơi doanh nghiệp dự kiến giao dịch tại thời </w:t>
      </w:r>
      <w:r w:rsidRPr="00F17E89">
        <w:rPr>
          <w:rFonts w:eastAsia="Times New Roman" w:cs="Times New Roman"/>
          <w:i/>
          <w:iCs/>
          <w:szCs w:val="24"/>
          <w:shd w:val="solid" w:color="FFFFFF" w:fill="auto"/>
          <w:lang w:eastAsia="vi-VN"/>
        </w:rPr>
        <w:t xml:space="preserve">Điểm </w:t>
      </w:r>
      <w:r w:rsidRPr="00F17E89">
        <w:rPr>
          <w:rFonts w:eastAsia="Times New Roman" w:cs="Times New Roman"/>
          <w:i/>
          <w:iCs/>
          <w:szCs w:val="24"/>
          <w:lang w:eastAsia="vi-VN"/>
        </w:rPr>
        <w:t xml:space="preserve">giao dịch; Khi ghi nhận các giao dịch mua sắm tài sản hoặc các Khoản chi </w:t>
      </w:r>
      <w:r w:rsidRPr="00F17E89">
        <w:rPr>
          <w:rFonts w:eastAsia="Times New Roman" w:cs="Times New Roman"/>
          <w:i/>
          <w:iCs/>
          <w:szCs w:val="24"/>
          <w:shd w:val="solid" w:color="FFFFFF" w:fill="auto"/>
          <w:lang w:eastAsia="vi-VN"/>
        </w:rPr>
        <w:t>phí</w:t>
      </w:r>
      <w:r w:rsidRPr="00F17E89">
        <w:rPr>
          <w:rFonts w:eastAsia="Times New Roman" w:cs="Times New Roman"/>
          <w:i/>
          <w:iCs/>
          <w:szCs w:val="24"/>
          <w:lang w:eastAsia="vi-VN"/>
        </w:rPr>
        <w:t xml:space="preserve"> được thanh toán ngay bằng ngoại tệ (không qua các tài Khoản phải trả) là tỷ giá mua của ngân hàng thương mại nơi doanh nghiệp thực hiện thanh toán.</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 Ngoài tỷ giá giao dịch thực tế nêu trên, doanh nghiệp có thể lựa chọn tỷ giá giao dịch thực tế là tỷ giá xấp xỉ với tỷ giá mua bán chuyển Khoản trung bình của ngân hàng thương mại nơi doanh nghiệp thường xuyên có giao dịch. Tỷ giá xấp xỉ phải đảm bảo chênh lệch không vượt quá +/-1% so với tỷ giá mua bán chuyển Khoản trung bình. Tỷ giá mua bán chuyển Khoản trung bình được xác định hàng </w:t>
      </w:r>
      <w:r w:rsidRPr="00F17E89">
        <w:rPr>
          <w:rFonts w:eastAsia="Times New Roman" w:cs="Times New Roman"/>
          <w:i/>
          <w:iCs/>
          <w:szCs w:val="24"/>
          <w:shd w:val="solid" w:color="FFFFFF" w:fill="auto"/>
          <w:lang w:eastAsia="vi-VN"/>
        </w:rPr>
        <w:t>ngày</w:t>
      </w:r>
      <w:r w:rsidRPr="00F17E89">
        <w:rPr>
          <w:rFonts w:eastAsia="Times New Roman" w:cs="Times New Roman"/>
          <w:i/>
          <w:iCs/>
          <w:szCs w:val="24"/>
          <w:lang w:eastAsia="vi-VN"/>
        </w:rPr>
        <w:t xml:space="preserve"> hoặc hàng tuần hoặc hàng tháng trên cơ sở trung bình cộng giữa tỷ giá mua và tỷ giá bán chuyển Khoản hàng ngày của ngân hàng thương mại.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Việc sử dụng tỷ giá xấp xỉ phải đảm bảo không làm ảnh hưởng trọng yếu đến tình hình tài chính và kết quả hoạt động sản xuất kinh doanh của kỳ kế toán.</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b) Tỷ giá giao dịch thực tế khi đánh giá lại các Khoản Mục tiền tệ có gốc ngoại tệ tại thời </w:t>
      </w:r>
      <w:r w:rsidRPr="00F17E89">
        <w:rPr>
          <w:rFonts w:eastAsia="Times New Roman" w:cs="Times New Roman"/>
          <w:i/>
          <w:iCs/>
          <w:szCs w:val="24"/>
          <w:shd w:val="solid" w:color="FFFFFF" w:fill="auto"/>
          <w:lang w:eastAsia="vi-VN"/>
        </w:rPr>
        <w:t xml:space="preserve">Điểm </w:t>
      </w:r>
      <w:r w:rsidRPr="00F17E89">
        <w:rPr>
          <w:rFonts w:eastAsia="Times New Roman" w:cs="Times New Roman"/>
          <w:i/>
          <w:iCs/>
          <w:szCs w:val="24"/>
          <w:lang w:eastAsia="vi-VN"/>
        </w:rPr>
        <w:t>lập Báo cáo tài chính:</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 Tỷ giá giao dịch thực tế khi đánh giá lại các Khoản Mục tiền tệ có gốc ngoại tệ được phân loại là tài sản: Là tỷ giá mua ngoại tệ của ngân hàng thương mại nơi doanh nghiệp thường xuyên có giao dịch tại thời </w:t>
      </w:r>
      <w:r w:rsidRPr="00F17E89">
        <w:rPr>
          <w:rFonts w:eastAsia="Times New Roman" w:cs="Times New Roman"/>
          <w:i/>
          <w:iCs/>
          <w:szCs w:val="24"/>
          <w:shd w:val="solid" w:color="FFFFFF" w:fill="auto"/>
          <w:lang w:eastAsia="vi-VN"/>
        </w:rPr>
        <w:t xml:space="preserve">Điểm </w:t>
      </w:r>
      <w:r w:rsidRPr="00F17E89">
        <w:rPr>
          <w:rFonts w:eastAsia="Times New Roman" w:cs="Times New Roman"/>
          <w:i/>
          <w:iCs/>
          <w:szCs w:val="24"/>
          <w:lang w:eastAsia="vi-VN"/>
        </w:rPr>
        <w:t xml:space="preserve">lập Báo cáo </w:t>
      </w:r>
      <w:r w:rsidRPr="00F17E89">
        <w:rPr>
          <w:rFonts w:eastAsia="Times New Roman" w:cs="Times New Roman"/>
          <w:i/>
          <w:iCs/>
          <w:szCs w:val="24"/>
          <w:shd w:val="solid" w:color="FFFFFF" w:fill="auto"/>
          <w:lang w:eastAsia="vi-VN"/>
        </w:rPr>
        <w:t>tài chính</w:t>
      </w:r>
      <w:r w:rsidRPr="00F17E89">
        <w:rPr>
          <w:rFonts w:eastAsia="Times New Roman" w:cs="Times New Roman"/>
          <w:i/>
          <w:iCs/>
          <w:szCs w:val="24"/>
          <w:lang w:eastAsia="vi-VN"/>
        </w:rPr>
        <w:t>. Đối với các Khoản ngoại tệ gửi ngân hàng thì tỷ giá thực tế khi đánh giá lại là tỷ giá mua của ngân hàng nơi doanh nghiệp mở tài Khoản ngoại tệ.</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Tỷ giá giao dịch thực tế khi đánh giá lại các Khoản Mục tiền tệ có gốc ngoại tệ được phân loại là nợ phải trả: Là tỷ giá bán ngoại tệ của ngân hàng thương mại nơi doanh nghiệp thường xuyên có giao dịch tại thời Điểm lập Báo cáo tài chính;</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 Các đơn vị trong tập đoàn được áp dụng chung một tỷ giá do Công ty mẹ quy định (phải đảm bảo sát với tỷ giá giao dịch thực tế) để đánh giá lại các Khoản Mục tiền tệ có gốc ngoại tệ </w:t>
      </w:r>
      <w:r w:rsidRPr="00F17E89">
        <w:rPr>
          <w:rFonts w:eastAsia="Times New Roman" w:cs="Times New Roman"/>
          <w:i/>
          <w:iCs/>
          <w:szCs w:val="24"/>
          <w:shd w:val="solid" w:color="FFFFFF" w:fill="auto"/>
          <w:lang w:eastAsia="vi-VN"/>
        </w:rPr>
        <w:t>phát sinh</w:t>
      </w:r>
      <w:r w:rsidRPr="00F17E89">
        <w:rPr>
          <w:rFonts w:eastAsia="Times New Roman" w:cs="Times New Roman"/>
          <w:i/>
          <w:iCs/>
          <w:szCs w:val="24"/>
          <w:lang w:eastAsia="vi-VN"/>
        </w:rPr>
        <w:t xml:space="preserve"> từ các giao dịch nội bộ.</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Trường hợp doanh nghiệp sử dụng tỷ giá xấp xỉ quy định tại Điểm a Khoản này để hạch toán các giao dịch bằng ngoại tệ phát sinh trong kỳ, cuối kỳ kế toán doanh nghiệp sử dụng tỷ giá chuyển Khoản của ngân hàng thương mại nơi doanh nghiệp thường xuyên có giao dịch để đánh giá lại các Khoản Mục tiền tệ có gốc ngoại tệ. Tỷ giá chuyển Khoản này có thể là tỷ giá mua hoặc bán hoặc tỷ giá mua bán chuyển Khoản trung bình của ngân hàng thương mại.”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szCs w:val="24"/>
          <w:lang w:eastAsia="vi-VN"/>
        </w:rPr>
        <w:lastRenderedPageBreak/>
        <w:t xml:space="preserve">4. Thay các cụm từ “tỷ giá bình quân gia quyền di động”, “tỷ giá ghi sổ bình quân gia quyền” bằng cụm từ “tỷ giá bình quân gia quyền di động hoặc tỷ giá giao dịch thực tế” tại </w:t>
      </w:r>
      <w:bookmarkStart w:id="3" w:name="dc_16"/>
      <w:r w:rsidRPr="00F17E89">
        <w:rPr>
          <w:rFonts w:eastAsia="Times New Roman" w:cs="Times New Roman"/>
          <w:szCs w:val="24"/>
          <w:lang w:eastAsia="vi-VN"/>
        </w:rPr>
        <w:t>Điểm e Khoản 1 Điều 12</w:t>
      </w:r>
      <w:bookmarkEnd w:id="3"/>
      <w:r w:rsidRPr="00F17E89">
        <w:rPr>
          <w:rFonts w:eastAsia="Times New Roman" w:cs="Times New Roman"/>
          <w:szCs w:val="24"/>
          <w:lang w:eastAsia="vi-VN"/>
        </w:rPr>
        <w:t xml:space="preserve">, </w:t>
      </w:r>
      <w:bookmarkStart w:id="4" w:name="dc_17"/>
      <w:r w:rsidRPr="00F17E89">
        <w:rPr>
          <w:rFonts w:eastAsia="Times New Roman" w:cs="Times New Roman"/>
          <w:szCs w:val="24"/>
          <w:lang w:eastAsia="vi-VN"/>
        </w:rPr>
        <w:t>Điểm đ Khoản 1 Điều 13</w:t>
      </w:r>
      <w:bookmarkEnd w:id="4"/>
      <w:r w:rsidRPr="00F17E89">
        <w:rPr>
          <w:rFonts w:eastAsia="Times New Roman" w:cs="Times New Roman"/>
          <w:szCs w:val="24"/>
          <w:lang w:eastAsia="vi-VN"/>
        </w:rPr>
        <w:t xml:space="preserve">, </w:t>
      </w:r>
      <w:bookmarkStart w:id="5" w:name="dc_18"/>
      <w:r w:rsidRPr="00F17E89">
        <w:rPr>
          <w:rFonts w:eastAsia="Times New Roman" w:cs="Times New Roman"/>
          <w:szCs w:val="24"/>
          <w:lang w:eastAsia="vi-VN"/>
        </w:rPr>
        <w:t>Điểm e Khoản 1 Điều 18</w:t>
      </w:r>
      <w:bookmarkEnd w:id="5"/>
      <w:r w:rsidRPr="00F17E89">
        <w:rPr>
          <w:rFonts w:eastAsia="Times New Roman" w:cs="Times New Roman"/>
          <w:szCs w:val="24"/>
          <w:lang w:eastAsia="vi-VN"/>
        </w:rPr>
        <w:t xml:space="preserve">, </w:t>
      </w:r>
      <w:bookmarkStart w:id="6" w:name="dc_19"/>
      <w:r w:rsidRPr="00F17E89">
        <w:rPr>
          <w:rFonts w:eastAsia="Times New Roman" w:cs="Times New Roman"/>
          <w:szCs w:val="24"/>
          <w:lang w:eastAsia="vi-VN"/>
        </w:rPr>
        <w:t>Điểm c Khoản 1 Điều 51</w:t>
      </w:r>
      <w:bookmarkEnd w:id="6"/>
      <w:r w:rsidRPr="00F17E89">
        <w:rPr>
          <w:rFonts w:eastAsia="Times New Roman" w:cs="Times New Roman"/>
          <w:szCs w:val="24"/>
          <w:lang w:eastAsia="vi-VN"/>
        </w:rPr>
        <w:t xml:space="preserve">, </w:t>
      </w:r>
      <w:bookmarkStart w:id="7" w:name="dc_20"/>
      <w:r w:rsidRPr="00F17E89">
        <w:rPr>
          <w:rFonts w:eastAsia="Times New Roman" w:cs="Times New Roman"/>
          <w:szCs w:val="24"/>
          <w:lang w:eastAsia="vi-VN"/>
        </w:rPr>
        <w:t>Khoản 1.4 và Điểm b, c Khoản 1.5 Điều 69 Thông tư 200/2014/TT-BTC</w:t>
      </w:r>
      <w:bookmarkEnd w:id="7"/>
      <w:r w:rsidRPr="00F17E89">
        <w:rPr>
          <w:rFonts w:eastAsia="Times New Roman" w:cs="Times New Roman"/>
          <w:szCs w:val="24"/>
          <w:lang w:eastAsia="vi-VN"/>
        </w:rPr>
        <w:t>.</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szCs w:val="24"/>
          <w:lang w:eastAsia="vi-VN"/>
        </w:rPr>
        <w:t xml:space="preserve">5. </w:t>
      </w:r>
      <w:bookmarkStart w:id="8" w:name="dc_21"/>
      <w:r w:rsidRPr="00F17E89">
        <w:rPr>
          <w:rFonts w:eastAsia="Times New Roman" w:cs="Times New Roman"/>
          <w:szCs w:val="24"/>
          <w:lang w:eastAsia="vi-VN"/>
        </w:rPr>
        <w:t xml:space="preserve">Khoản 4.1 Điều 69 Thông tư số 200/2014/TT-BTC </w:t>
      </w:r>
      <w:bookmarkEnd w:id="8"/>
      <w:r w:rsidRPr="00F17E89">
        <w:rPr>
          <w:rFonts w:eastAsia="Times New Roman" w:cs="Times New Roman"/>
          <w:szCs w:val="24"/>
          <w:lang w:eastAsia="vi-VN"/>
        </w:rPr>
        <w:t>được sửa đổi, bổ sung như sau:</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“4.1. Kế toán chênh lệch tỷ giá hối đoái phát sinh trong kỳ (kể cả chênh lệch tỷ giá trong giai đoạn trước hoạt động của các doanh nghiệp không do Nhà nước nắm giữ 100% vốn Điều lệ):</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a) Khi mua vật tư, hàng </w:t>
      </w:r>
      <w:r w:rsidRPr="00F17E89">
        <w:rPr>
          <w:rFonts w:eastAsia="Times New Roman" w:cs="Times New Roman"/>
          <w:i/>
          <w:iCs/>
          <w:szCs w:val="24"/>
          <w:shd w:val="solid" w:color="FFFFFF" w:fill="auto"/>
          <w:lang w:eastAsia="vi-VN"/>
        </w:rPr>
        <w:t>hóa</w:t>
      </w:r>
      <w:r w:rsidRPr="00F17E89">
        <w:rPr>
          <w:rFonts w:eastAsia="Times New Roman" w:cs="Times New Roman"/>
          <w:i/>
          <w:iCs/>
          <w:szCs w:val="24"/>
          <w:lang w:eastAsia="vi-VN"/>
        </w:rPr>
        <w:t>, TSCĐ, dịch vụ thanh toán bằng ngoại tệ, ghi: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Nợ các TK 151, 152, 153, 156, 157, 211, 213, 217, 241, 623, 627, 641, 642</w:t>
      </w:r>
    </w:p>
    <w:p w:rsidR="00F17E89" w:rsidRPr="00F17E89" w:rsidRDefault="00F17E89" w:rsidP="00F17E89">
      <w:pPr>
        <w:spacing w:before="120" w:after="100" w:afterAutospacing="1" w:line="240" w:lineRule="auto"/>
        <w:jc w:val="center"/>
        <w:rPr>
          <w:rFonts w:eastAsia="Times New Roman" w:cs="Times New Roman"/>
          <w:szCs w:val="24"/>
          <w:lang w:eastAsia="vi-VN"/>
        </w:rPr>
      </w:pPr>
      <w:r w:rsidRPr="00F17E89">
        <w:rPr>
          <w:rFonts w:eastAsia="Times New Roman" w:cs="Times New Roman"/>
          <w:i/>
          <w:iCs/>
          <w:szCs w:val="24"/>
          <w:lang w:eastAsia="vi-VN"/>
        </w:rPr>
        <w:t>(tỷ giá giao dịch thực tế tại ngày giao dịch)</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Nợ TK 635 - Chi phí tài chính (lỗ tỷ giá hối đoái)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Có các TK 111 (1112), 112 (1122) (theo tỷ giá ghi sổ kế toán).</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Có TK 515 - Doanh thu hoạt động tài chính (lãi tỷ giá hối đoái).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b) Khi mua vật tư, hàng </w:t>
      </w:r>
      <w:r w:rsidRPr="00F17E89">
        <w:rPr>
          <w:rFonts w:eastAsia="Times New Roman" w:cs="Times New Roman"/>
          <w:i/>
          <w:iCs/>
          <w:szCs w:val="24"/>
          <w:shd w:val="solid" w:color="FFFFFF" w:fill="auto"/>
          <w:lang w:eastAsia="vi-VN"/>
        </w:rPr>
        <w:t>hóa</w:t>
      </w:r>
      <w:r w:rsidRPr="00F17E89">
        <w:rPr>
          <w:rFonts w:eastAsia="Times New Roman" w:cs="Times New Roman"/>
          <w:i/>
          <w:iCs/>
          <w:szCs w:val="24"/>
          <w:lang w:eastAsia="vi-VN"/>
        </w:rPr>
        <w:t>, TSCĐ, dịch vụ của nhà cung cấp chưa thanh toán tiền, khi vay hoặc nhận nợ nội bộ... bằng ngoại tệ, căn cứ tỷ giá giao dịch thực tế tại ngày giao dịch, ghi: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Nợ các TK 111, 112, 152, 153, 156, 211, 627, 641, 642...</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Có các TK 331, 341, 336...</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 Khi ứng trước tiền cho người bán bằng ngoại tệ để mua vật tư, hàng hóa, TSCĐ, dịch vụ:</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 </w:t>
      </w:r>
      <w:r w:rsidRPr="00F17E89">
        <w:rPr>
          <w:rFonts w:eastAsia="Times New Roman" w:cs="Times New Roman"/>
          <w:i/>
          <w:iCs/>
          <w:szCs w:val="24"/>
          <w:shd w:val="solid" w:color="FFFFFF" w:fill="auto"/>
          <w:lang w:eastAsia="vi-VN"/>
        </w:rPr>
        <w:t>Kế toán</w:t>
      </w:r>
      <w:r w:rsidRPr="00F17E89">
        <w:rPr>
          <w:rFonts w:eastAsia="Times New Roman" w:cs="Times New Roman"/>
          <w:i/>
          <w:iCs/>
          <w:szCs w:val="24"/>
          <w:lang w:eastAsia="vi-VN"/>
        </w:rPr>
        <w:t xml:space="preserve"> phản ánh số tiền ứng trước cho người bán theo tỷ giá giao dịch thực tế tại thời Điểm ứng trước, ghi: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Nợ TK 331 - Phải trả cho người bản (tỷ giá thực tế tại ngày ứng trước)</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Nợ TK 635 - Chi phí </w:t>
      </w:r>
      <w:r w:rsidRPr="00F17E89">
        <w:rPr>
          <w:rFonts w:eastAsia="Times New Roman" w:cs="Times New Roman"/>
          <w:i/>
          <w:iCs/>
          <w:szCs w:val="24"/>
          <w:shd w:val="solid" w:color="FFFFFF" w:fill="auto"/>
          <w:lang w:eastAsia="vi-VN"/>
        </w:rPr>
        <w:t>tài chính</w:t>
      </w:r>
      <w:r w:rsidRPr="00F17E89">
        <w:rPr>
          <w:rFonts w:eastAsia="Times New Roman" w:cs="Times New Roman"/>
          <w:i/>
          <w:iCs/>
          <w:szCs w:val="24"/>
          <w:lang w:eastAsia="vi-VN"/>
        </w:rPr>
        <w:t xml:space="preserve"> (lỗ tỷ giá hối đoái)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Có các TK 111 (1112), 112 (1122) (theo tỷ giá ghi sổ kế toán)</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Có TK 515 - Doanh thu hoạt động tài chính (lãi tỷ giá hối đoái).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Khi nhận vật tư, hàng hóa, TSCĐ, dịch vụ từ người bán, kế toán phản ánh theo nguyên tắc:</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 Đối với giá trị vật tư, hàng hóa, TSCĐ, dịch vụ tương ứng với số tiền bằng ngoại tệ đã ứng trước cho người bán, kế toán ghi nhận theo tỷ giá giao dịch thực tế tại thời </w:t>
      </w:r>
      <w:r w:rsidRPr="00F17E89">
        <w:rPr>
          <w:rFonts w:eastAsia="Times New Roman" w:cs="Times New Roman"/>
          <w:i/>
          <w:iCs/>
          <w:szCs w:val="24"/>
          <w:shd w:val="solid" w:color="FFFFFF" w:fill="auto"/>
          <w:lang w:eastAsia="vi-VN"/>
        </w:rPr>
        <w:t xml:space="preserve">Điểm </w:t>
      </w:r>
      <w:r w:rsidRPr="00F17E89">
        <w:rPr>
          <w:rFonts w:eastAsia="Times New Roman" w:cs="Times New Roman"/>
          <w:i/>
          <w:iCs/>
          <w:szCs w:val="24"/>
          <w:lang w:eastAsia="vi-VN"/>
        </w:rPr>
        <w:t>ứng trước, ghi: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Nợ các TK 151, 152,153, 156, 157, 211, 213, 217, 241, 623, 627, 641, 642</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lastRenderedPageBreak/>
        <w:t>Có TK 331 - Phải trả cho người bản (tỷ giá thực tế ngày ứng trước).</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 Đối với giá trị vật tư, hàng hóa, TSCĐ, dịch vụ còn nợ chưa thanh toán tiền, kế toán ghi nhận theo tỷ giá giao dịch thực tế tại thời </w:t>
      </w:r>
      <w:r w:rsidRPr="00F17E89">
        <w:rPr>
          <w:rFonts w:eastAsia="Times New Roman" w:cs="Times New Roman"/>
          <w:i/>
          <w:iCs/>
          <w:szCs w:val="24"/>
          <w:shd w:val="solid" w:color="FFFFFF" w:fill="auto"/>
          <w:lang w:eastAsia="vi-VN"/>
        </w:rPr>
        <w:t xml:space="preserve">Điểm </w:t>
      </w:r>
      <w:r w:rsidRPr="00F17E89">
        <w:rPr>
          <w:rFonts w:eastAsia="Times New Roman" w:cs="Times New Roman"/>
          <w:i/>
          <w:iCs/>
          <w:szCs w:val="24"/>
          <w:lang w:eastAsia="vi-VN"/>
        </w:rPr>
        <w:t>phát sinh (ngày giao dịch), ghi: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Nợ các TK 151, 152, 153, 156, 157, 211, 213, 217, 241, 623, 627, 641, 642</w:t>
      </w:r>
    </w:p>
    <w:p w:rsidR="00F17E89" w:rsidRPr="00F17E89" w:rsidRDefault="00F17E89" w:rsidP="00F17E89">
      <w:pPr>
        <w:spacing w:before="120" w:after="100" w:afterAutospacing="1" w:line="240" w:lineRule="auto"/>
        <w:jc w:val="center"/>
        <w:rPr>
          <w:rFonts w:eastAsia="Times New Roman" w:cs="Times New Roman"/>
          <w:szCs w:val="24"/>
          <w:lang w:eastAsia="vi-VN"/>
        </w:rPr>
      </w:pPr>
      <w:r w:rsidRPr="00F17E89">
        <w:rPr>
          <w:rFonts w:eastAsia="Times New Roman" w:cs="Times New Roman"/>
          <w:i/>
          <w:iCs/>
          <w:szCs w:val="24"/>
          <w:lang w:eastAsia="vi-VN"/>
        </w:rPr>
        <w:t>(tỷ giá giao dịch thực tế tại ngày giao dịch)</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Có TK 331 - Phải trả cho người bán (tỷ giá thực tế ngày giao dịch).</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d) Khi thanh toán nợ phải trả bằng ngoại tệ (nợ phải trả người bán, nợ vay, nợ thuê </w:t>
      </w:r>
      <w:r w:rsidRPr="00F17E89">
        <w:rPr>
          <w:rFonts w:eastAsia="Times New Roman" w:cs="Times New Roman"/>
          <w:i/>
          <w:iCs/>
          <w:szCs w:val="24"/>
          <w:shd w:val="solid" w:color="FFFFFF" w:fill="auto"/>
          <w:lang w:eastAsia="vi-VN"/>
        </w:rPr>
        <w:t>tài chính</w:t>
      </w:r>
      <w:r w:rsidRPr="00F17E89">
        <w:rPr>
          <w:rFonts w:eastAsia="Times New Roman" w:cs="Times New Roman"/>
          <w:i/>
          <w:iCs/>
          <w:szCs w:val="24"/>
          <w:lang w:eastAsia="vi-VN"/>
        </w:rPr>
        <w:t>, nợ nội bộ...):</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Nợ các TK 331, 336, 341,... (tỷ giá ghi sổ kế toán)</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Nợ TK 635 - Chi </w:t>
      </w:r>
      <w:r w:rsidRPr="00F17E89">
        <w:rPr>
          <w:rFonts w:eastAsia="Times New Roman" w:cs="Times New Roman"/>
          <w:i/>
          <w:iCs/>
          <w:szCs w:val="24"/>
          <w:shd w:val="solid" w:color="FFFFFF" w:fill="auto"/>
          <w:lang w:eastAsia="vi-VN"/>
        </w:rPr>
        <w:t>phí</w:t>
      </w:r>
      <w:r w:rsidRPr="00F17E89">
        <w:rPr>
          <w:rFonts w:eastAsia="Times New Roman" w:cs="Times New Roman"/>
          <w:i/>
          <w:iCs/>
          <w:szCs w:val="24"/>
          <w:lang w:eastAsia="vi-VN"/>
        </w:rPr>
        <w:t xml:space="preserve"> tài chính (lỗ tỷ giá hối đoái)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Có các TK 111 (1112), 112 (1122) (tỷ giá ghi sổ kế toán).</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Có TK 515 - Doanh thu hoạt động tài chính (lãi tỷ giá hối đoái).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e) Khi phát sinh doanh thu, thu nhập khác bằng ngoại tệ, căn cứ tỷ giá giao dịch thực tế tại thời Điểm phát sinh, ghi: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Nợ các TK 111(1112), 112(1122), 131... (tỷ giá giao dịch thực tế tại ngày giao dịch)</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Có các TK 511, 711 (tỷ giá giao dịch thực tế tại ngày giao dịch).</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g) Khi nhận trước tiền của người mua bằng ngoại tệ để cung cấp vật tư, hàng hóa, TSCĐ, dịch vụ:</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Kế toán phản ánh số tiền nhận trước của người mua theo tỷ giá giao dịch thực tế tại thời Điểm nhận trước, ghi: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Nợ các TK 111 (1112), 112 (1122)</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Có TK 131 - Phải thu của khách hàng.</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Khi chuyển giao vật tư; hàng hóa, TSCĐ, dịch vụ cho người mua, kế toán phản ánh theo nguyên tắc:</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Đối với phần doanh thu, thu nhập t</w:t>
      </w:r>
      <w:r w:rsidRPr="00F17E89">
        <w:rPr>
          <w:rFonts w:eastAsia="Times New Roman" w:cs="Times New Roman"/>
          <w:i/>
          <w:iCs/>
          <w:szCs w:val="24"/>
          <w:shd w:val="solid" w:color="FFFFFF" w:fill="auto"/>
          <w:lang w:eastAsia="vi-VN"/>
        </w:rPr>
        <w:t>ươ</w:t>
      </w:r>
      <w:r w:rsidRPr="00F17E89">
        <w:rPr>
          <w:rFonts w:eastAsia="Times New Roman" w:cs="Times New Roman"/>
          <w:i/>
          <w:iCs/>
          <w:szCs w:val="24"/>
          <w:lang w:eastAsia="vi-VN"/>
        </w:rPr>
        <w:t xml:space="preserve">ng ứng với số tiền bằng ngoại tệ đã nhận trước của người mua, kế toán ghi nhận theo tỷ giá giao dịch thực tế tại thời </w:t>
      </w:r>
      <w:r w:rsidRPr="00F17E89">
        <w:rPr>
          <w:rFonts w:eastAsia="Times New Roman" w:cs="Times New Roman"/>
          <w:i/>
          <w:iCs/>
          <w:szCs w:val="24"/>
          <w:shd w:val="solid" w:color="FFFFFF" w:fill="auto"/>
          <w:lang w:eastAsia="vi-VN"/>
        </w:rPr>
        <w:t xml:space="preserve">Điểm </w:t>
      </w:r>
      <w:r w:rsidRPr="00F17E89">
        <w:rPr>
          <w:rFonts w:eastAsia="Times New Roman" w:cs="Times New Roman"/>
          <w:i/>
          <w:iCs/>
          <w:szCs w:val="24"/>
          <w:lang w:eastAsia="vi-VN"/>
        </w:rPr>
        <w:t>nhận trước, ghi: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Nợ TK 131 - Phải thu của khách hàng (tỷ giá giao dịch thực tế thời </w:t>
      </w:r>
      <w:r w:rsidRPr="00F17E89">
        <w:rPr>
          <w:rFonts w:eastAsia="Times New Roman" w:cs="Times New Roman"/>
          <w:i/>
          <w:iCs/>
          <w:szCs w:val="24"/>
          <w:shd w:val="solid" w:color="FFFFFF" w:fill="auto"/>
          <w:lang w:eastAsia="vi-VN"/>
        </w:rPr>
        <w:t xml:space="preserve">Điểm </w:t>
      </w:r>
      <w:r w:rsidRPr="00F17E89">
        <w:rPr>
          <w:rFonts w:eastAsia="Times New Roman" w:cs="Times New Roman"/>
          <w:i/>
          <w:iCs/>
          <w:szCs w:val="24"/>
          <w:lang w:eastAsia="vi-VN"/>
        </w:rPr>
        <w:t>nhận trước tiền của người mua)</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Có các TK 511, 711.</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lastRenderedPageBreak/>
        <w:t>+ Đối với phần doanh thu, thu nhập chưa thu được tiền, kế toán ghi nhận theo tỷ giá giao dịch thực tế tại thời Điểm phát sinh, ghi: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Nợ TK 131 - Phải thu của khách hàng</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Có các TK 511, 711.</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h) Khi thu được tiền nợ phải thu bằng ngoại tệ (nợ phải thu của khách hàng, phải thu nội bộ, phải thu khác,...):</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Nợ các TK 111 (1112), 112 (1122) (tỷ giá thực tế tại ngày giao dịch)</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Nợ TK 635 - Chi phí tài chính (lỗ tỷ giá hối đoái)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Có các TK 131, 136, 138 (tỷ giá ghi sổ kế toán)</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Có TK 515 - Doanh thu hoạt động tài chính (lãi tỷ giá hối đoái).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i) Khi cho vay, đầu tư bằng ngoại tệ:</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Nợ các TK 121, 128, 221, 222, 228 (tỷ giá thực tế tại ngày giao dịch)</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Nợ TK 635 - Chi </w:t>
      </w:r>
      <w:r w:rsidRPr="00F17E89">
        <w:rPr>
          <w:rFonts w:eastAsia="Times New Roman" w:cs="Times New Roman"/>
          <w:i/>
          <w:iCs/>
          <w:szCs w:val="24"/>
          <w:shd w:val="solid" w:color="FFFFFF" w:fill="auto"/>
          <w:lang w:eastAsia="vi-VN"/>
        </w:rPr>
        <w:t>phí</w:t>
      </w:r>
      <w:r w:rsidRPr="00F17E89">
        <w:rPr>
          <w:rFonts w:eastAsia="Times New Roman" w:cs="Times New Roman"/>
          <w:i/>
          <w:iCs/>
          <w:szCs w:val="24"/>
          <w:lang w:eastAsia="vi-VN"/>
        </w:rPr>
        <w:t xml:space="preserve"> </w:t>
      </w:r>
      <w:r w:rsidRPr="00F17E89">
        <w:rPr>
          <w:rFonts w:eastAsia="Times New Roman" w:cs="Times New Roman"/>
          <w:i/>
          <w:iCs/>
          <w:szCs w:val="24"/>
          <w:shd w:val="solid" w:color="FFFFFF" w:fill="auto"/>
          <w:lang w:eastAsia="vi-VN"/>
        </w:rPr>
        <w:t>tài chính</w:t>
      </w:r>
      <w:r w:rsidRPr="00F17E89">
        <w:rPr>
          <w:rFonts w:eastAsia="Times New Roman" w:cs="Times New Roman"/>
          <w:i/>
          <w:iCs/>
          <w:szCs w:val="24"/>
          <w:lang w:eastAsia="vi-VN"/>
        </w:rPr>
        <w:t xml:space="preserve"> (lỗ tỷ giá hối đoái)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Có các TK 111 (1112), 112 (1122) (tỷ giá ghi sổ kế toán)</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Có TK 515 - Doanh thu hoạt động tài chính (lãi tỷ giá hối đoái).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k) Các Khoản ký cược, ký quỹ bằng ngoại tệ</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Khi mang ngoại tệ đi ký cược, ký quỹ, ghi: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Nợ TK 244 - Cầm cố, thế chấp, ký cược, ký quỹ (Tỷ giá giao dịch thực tế tại thời Điểm phát sinh)</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Nợ TK 635- Chi </w:t>
      </w:r>
      <w:r w:rsidRPr="00F17E89">
        <w:rPr>
          <w:rFonts w:eastAsia="Times New Roman" w:cs="Times New Roman"/>
          <w:i/>
          <w:iCs/>
          <w:szCs w:val="24"/>
          <w:shd w:val="solid" w:color="FFFFFF" w:fill="auto"/>
          <w:lang w:eastAsia="vi-VN"/>
        </w:rPr>
        <w:t>phí</w:t>
      </w:r>
      <w:r w:rsidRPr="00F17E89">
        <w:rPr>
          <w:rFonts w:eastAsia="Times New Roman" w:cs="Times New Roman"/>
          <w:i/>
          <w:iCs/>
          <w:szCs w:val="24"/>
          <w:lang w:eastAsia="vi-VN"/>
        </w:rPr>
        <w:t xml:space="preserve"> </w:t>
      </w:r>
      <w:r w:rsidRPr="00F17E89">
        <w:rPr>
          <w:rFonts w:eastAsia="Times New Roman" w:cs="Times New Roman"/>
          <w:i/>
          <w:iCs/>
          <w:szCs w:val="24"/>
          <w:shd w:val="solid" w:color="FFFFFF" w:fill="auto"/>
          <w:lang w:eastAsia="vi-VN"/>
        </w:rPr>
        <w:t>tài chính</w:t>
      </w:r>
      <w:r w:rsidRPr="00F17E89">
        <w:rPr>
          <w:rFonts w:eastAsia="Times New Roman" w:cs="Times New Roman"/>
          <w:i/>
          <w:iCs/>
          <w:szCs w:val="24"/>
          <w:lang w:eastAsia="vi-VN"/>
        </w:rPr>
        <w:t xml:space="preserve"> (Lỗ tỷ giá hối đoái)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Có các TK 111 (1112), 112 (1122) (tỷ giá ghi sổ kế toán)</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Có TK 515- Doanh thu hoạt động </w:t>
      </w:r>
      <w:r w:rsidRPr="00F17E89">
        <w:rPr>
          <w:rFonts w:eastAsia="Times New Roman" w:cs="Times New Roman"/>
          <w:i/>
          <w:iCs/>
          <w:szCs w:val="24"/>
          <w:shd w:val="solid" w:color="FFFFFF" w:fill="auto"/>
          <w:lang w:eastAsia="vi-VN"/>
        </w:rPr>
        <w:t>tài chính</w:t>
      </w:r>
      <w:r w:rsidRPr="00F17E89">
        <w:rPr>
          <w:rFonts w:eastAsia="Times New Roman" w:cs="Times New Roman"/>
          <w:i/>
          <w:iCs/>
          <w:szCs w:val="24"/>
          <w:lang w:eastAsia="vi-VN"/>
        </w:rPr>
        <w:t xml:space="preserve"> (Lãi tỷ giá hối đoái).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Khi nhận lại tiền ký cược, ký quỹ:</w:t>
      </w:r>
    </w:p>
    <w:p w:rsidR="00F17E89" w:rsidRPr="00F17E89" w:rsidRDefault="00F17E89" w:rsidP="00F17E89">
      <w:pPr>
        <w:spacing w:before="120" w:after="100" w:afterAutospacing="1" w:line="240" w:lineRule="auto"/>
        <w:rPr>
          <w:rFonts w:eastAsia="Times New Roman" w:cs="Times New Roman"/>
          <w:szCs w:val="24"/>
          <w:lang w:val="en-US" w:eastAsia="vi-VN"/>
        </w:rPr>
      </w:pPr>
      <w:r w:rsidRPr="00F17E89">
        <w:rPr>
          <w:rFonts w:eastAsia="Times New Roman" w:cs="Times New Roman"/>
          <w:i/>
          <w:iCs/>
          <w:szCs w:val="24"/>
          <w:lang w:eastAsia="vi-VN"/>
        </w:rPr>
        <w:t>Nợ các TK 111 (1112), 112 (1122) (tỷ gi</w:t>
      </w:r>
      <w:r w:rsidRPr="00F17E89">
        <w:rPr>
          <w:rFonts w:eastAsia="Times New Roman" w:cs="Times New Roman"/>
          <w:i/>
          <w:iCs/>
          <w:szCs w:val="24"/>
          <w:lang w:val="en-US" w:eastAsia="vi-VN"/>
        </w:rPr>
        <w:t xml:space="preserve">á </w:t>
      </w:r>
      <w:r w:rsidRPr="00F17E89">
        <w:rPr>
          <w:rFonts w:eastAsia="Times New Roman" w:cs="Times New Roman"/>
          <w:i/>
          <w:iCs/>
          <w:szCs w:val="24"/>
          <w:lang w:eastAsia="vi-VN"/>
        </w:rPr>
        <w:t>giao dịch thực t</w:t>
      </w:r>
      <w:r w:rsidRPr="00F17E89">
        <w:rPr>
          <w:rFonts w:eastAsia="Times New Roman" w:cs="Times New Roman"/>
          <w:i/>
          <w:iCs/>
          <w:szCs w:val="24"/>
          <w:lang w:val="en-US" w:eastAsia="vi-VN"/>
        </w:rPr>
        <w:t xml:space="preserve">ế </w:t>
      </w:r>
      <w:r w:rsidRPr="00F17E89">
        <w:rPr>
          <w:rFonts w:eastAsia="Times New Roman" w:cs="Times New Roman"/>
          <w:i/>
          <w:iCs/>
          <w:szCs w:val="24"/>
          <w:lang w:eastAsia="vi-VN"/>
        </w:rPr>
        <w:t>khi nhận lại Khoản k</w:t>
      </w:r>
      <w:r w:rsidRPr="00F17E89">
        <w:rPr>
          <w:rFonts w:eastAsia="Times New Roman" w:cs="Times New Roman"/>
          <w:i/>
          <w:iCs/>
          <w:szCs w:val="24"/>
          <w:lang w:val="en-US" w:eastAsia="vi-VN"/>
        </w:rPr>
        <w:t xml:space="preserve">ý </w:t>
      </w:r>
      <w:r w:rsidRPr="00F17E89">
        <w:rPr>
          <w:rFonts w:eastAsia="Times New Roman" w:cs="Times New Roman"/>
          <w:i/>
          <w:iCs/>
          <w:szCs w:val="24"/>
          <w:lang w:eastAsia="vi-VN"/>
        </w:rPr>
        <w:t>quỹ, k</w:t>
      </w:r>
      <w:r w:rsidRPr="00F17E89">
        <w:rPr>
          <w:rFonts w:eastAsia="Times New Roman" w:cs="Times New Roman"/>
          <w:i/>
          <w:iCs/>
          <w:szCs w:val="24"/>
          <w:lang w:val="en-US" w:eastAsia="vi-VN"/>
        </w:rPr>
        <w:t xml:space="preserve">ý </w:t>
      </w:r>
      <w:r w:rsidRPr="00F17E89">
        <w:rPr>
          <w:rFonts w:eastAsia="Times New Roman" w:cs="Times New Roman"/>
          <w:i/>
          <w:iCs/>
          <w:szCs w:val="24"/>
          <w:lang w:eastAsia="vi-VN"/>
        </w:rPr>
        <w:t>cược)</w:t>
      </w:r>
    </w:p>
    <w:p w:rsidR="00F17E89" w:rsidRPr="00F17E89" w:rsidRDefault="00F17E89" w:rsidP="00F17E89">
      <w:pPr>
        <w:spacing w:before="120" w:after="100" w:afterAutospacing="1" w:line="240" w:lineRule="auto"/>
        <w:rPr>
          <w:rFonts w:eastAsia="Times New Roman" w:cs="Times New Roman"/>
          <w:szCs w:val="24"/>
          <w:lang w:val="en-US" w:eastAsia="vi-VN"/>
        </w:rPr>
      </w:pPr>
      <w:r w:rsidRPr="00F17E89">
        <w:rPr>
          <w:rFonts w:eastAsia="Times New Roman" w:cs="Times New Roman"/>
          <w:i/>
          <w:iCs/>
          <w:szCs w:val="24"/>
          <w:lang w:eastAsia="vi-VN"/>
        </w:rPr>
        <w:t>Nợ TK 635 - Chi phí tài chính (lỗ tỷ gi</w:t>
      </w:r>
      <w:r w:rsidRPr="00F17E89">
        <w:rPr>
          <w:rFonts w:eastAsia="Times New Roman" w:cs="Times New Roman"/>
          <w:i/>
          <w:iCs/>
          <w:szCs w:val="24"/>
          <w:lang w:val="en-US" w:eastAsia="vi-VN"/>
        </w:rPr>
        <w:t>á</w:t>
      </w:r>
      <w:r w:rsidRPr="00F17E89">
        <w:rPr>
          <w:rFonts w:eastAsia="Times New Roman" w:cs="Times New Roman"/>
          <w:i/>
          <w:iCs/>
          <w:szCs w:val="24"/>
          <w:lang w:eastAsia="vi-VN"/>
        </w:rPr>
        <w:t xml:space="preserve"> h</w:t>
      </w:r>
      <w:r w:rsidRPr="00F17E89">
        <w:rPr>
          <w:rFonts w:eastAsia="Times New Roman" w:cs="Times New Roman"/>
          <w:i/>
          <w:iCs/>
          <w:szCs w:val="24"/>
          <w:lang w:val="en-US" w:eastAsia="vi-VN"/>
        </w:rPr>
        <w:t>ố</w:t>
      </w:r>
      <w:r w:rsidRPr="00F17E89">
        <w:rPr>
          <w:rFonts w:eastAsia="Times New Roman" w:cs="Times New Roman"/>
          <w:i/>
          <w:iCs/>
          <w:szCs w:val="24"/>
          <w:lang w:eastAsia="vi-VN"/>
        </w:rPr>
        <w:t>i đoái)</w:t>
      </w:r>
    </w:p>
    <w:p w:rsidR="00F17E89" w:rsidRPr="00F17E89" w:rsidRDefault="00F17E89" w:rsidP="00F17E89">
      <w:pPr>
        <w:spacing w:before="120" w:after="100" w:afterAutospacing="1" w:line="240" w:lineRule="auto"/>
        <w:rPr>
          <w:rFonts w:eastAsia="Times New Roman" w:cs="Times New Roman"/>
          <w:szCs w:val="24"/>
          <w:lang w:val="en-US" w:eastAsia="vi-VN"/>
        </w:rPr>
      </w:pPr>
      <w:r w:rsidRPr="00F17E89">
        <w:rPr>
          <w:rFonts w:eastAsia="Times New Roman" w:cs="Times New Roman"/>
          <w:i/>
          <w:iCs/>
          <w:szCs w:val="24"/>
          <w:lang w:eastAsia="vi-VN"/>
        </w:rPr>
        <w:t>C</w:t>
      </w:r>
      <w:r w:rsidRPr="00F17E89">
        <w:rPr>
          <w:rFonts w:eastAsia="Times New Roman" w:cs="Times New Roman"/>
          <w:i/>
          <w:iCs/>
          <w:szCs w:val="24"/>
          <w:lang w:val="en-US" w:eastAsia="vi-VN"/>
        </w:rPr>
        <w:t xml:space="preserve">ó </w:t>
      </w:r>
      <w:r w:rsidRPr="00F17E89">
        <w:rPr>
          <w:rFonts w:eastAsia="Times New Roman" w:cs="Times New Roman"/>
          <w:i/>
          <w:iCs/>
          <w:szCs w:val="24"/>
          <w:lang w:eastAsia="vi-VN"/>
        </w:rPr>
        <w:t>TK 244 - Cầm c</w:t>
      </w:r>
      <w:r w:rsidRPr="00F17E89">
        <w:rPr>
          <w:rFonts w:eastAsia="Times New Roman" w:cs="Times New Roman"/>
          <w:i/>
          <w:iCs/>
          <w:szCs w:val="24"/>
          <w:lang w:val="en-US" w:eastAsia="vi-VN"/>
        </w:rPr>
        <w:t>ố</w:t>
      </w:r>
      <w:r w:rsidRPr="00F17E89">
        <w:rPr>
          <w:rFonts w:eastAsia="Times New Roman" w:cs="Times New Roman"/>
          <w:i/>
          <w:iCs/>
          <w:szCs w:val="24"/>
          <w:lang w:eastAsia="vi-VN"/>
        </w:rPr>
        <w:t>, th</w:t>
      </w:r>
      <w:r w:rsidRPr="00F17E89">
        <w:rPr>
          <w:rFonts w:eastAsia="Times New Roman" w:cs="Times New Roman"/>
          <w:i/>
          <w:iCs/>
          <w:szCs w:val="24"/>
          <w:lang w:val="en-US" w:eastAsia="vi-VN"/>
        </w:rPr>
        <w:t xml:space="preserve">ế </w:t>
      </w:r>
      <w:r w:rsidRPr="00F17E89">
        <w:rPr>
          <w:rFonts w:eastAsia="Times New Roman" w:cs="Times New Roman"/>
          <w:i/>
          <w:iCs/>
          <w:szCs w:val="24"/>
          <w:lang w:eastAsia="vi-VN"/>
        </w:rPr>
        <w:t>chấp, ký cược, k</w:t>
      </w:r>
      <w:r w:rsidRPr="00F17E89">
        <w:rPr>
          <w:rFonts w:eastAsia="Times New Roman" w:cs="Times New Roman"/>
          <w:i/>
          <w:iCs/>
          <w:szCs w:val="24"/>
          <w:lang w:val="en-US" w:eastAsia="vi-VN"/>
        </w:rPr>
        <w:t xml:space="preserve">ý </w:t>
      </w:r>
      <w:r w:rsidRPr="00F17E89">
        <w:rPr>
          <w:rFonts w:eastAsia="Times New Roman" w:cs="Times New Roman"/>
          <w:i/>
          <w:iCs/>
          <w:szCs w:val="24"/>
          <w:lang w:eastAsia="vi-VN"/>
        </w:rPr>
        <w:t>quỹ (tỷ giá ghi sổ)</w:t>
      </w:r>
    </w:p>
    <w:p w:rsidR="00F17E89" w:rsidRPr="00F17E89" w:rsidRDefault="00F17E89" w:rsidP="00F17E89">
      <w:pPr>
        <w:spacing w:before="120" w:after="100" w:afterAutospacing="1" w:line="240" w:lineRule="auto"/>
        <w:rPr>
          <w:rFonts w:eastAsia="Times New Roman" w:cs="Times New Roman"/>
          <w:szCs w:val="24"/>
          <w:lang w:val="en-US" w:eastAsia="vi-VN"/>
        </w:rPr>
      </w:pPr>
      <w:r w:rsidRPr="00F17E89">
        <w:rPr>
          <w:rFonts w:eastAsia="Times New Roman" w:cs="Times New Roman"/>
          <w:i/>
          <w:iCs/>
          <w:szCs w:val="24"/>
          <w:lang w:eastAsia="vi-VN"/>
        </w:rPr>
        <w:lastRenderedPageBreak/>
        <w:t>Có TK 515 - Doanh thu hoạt động tài chính (lãi tỷ gi</w:t>
      </w:r>
      <w:r w:rsidRPr="00F17E89">
        <w:rPr>
          <w:rFonts w:eastAsia="Times New Roman" w:cs="Times New Roman"/>
          <w:i/>
          <w:iCs/>
          <w:szCs w:val="24"/>
          <w:lang w:val="en-US" w:eastAsia="vi-VN"/>
        </w:rPr>
        <w:t>á</w:t>
      </w:r>
      <w:r w:rsidRPr="00F17E89">
        <w:rPr>
          <w:rFonts w:eastAsia="Times New Roman" w:cs="Times New Roman"/>
          <w:i/>
          <w:iCs/>
          <w:szCs w:val="24"/>
          <w:lang w:eastAsia="vi-VN"/>
        </w:rPr>
        <w:t xml:space="preserve"> h</w:t>
      </w:r>
      <w:r w:rsidRPr="00F17E89">
        <w:rPr>
          <w:rFonts w:eastAsia="Times New Roman" w:cs="Times New Roman"/>
          <w:i/>
          <w:iCs/>
          <w:szCs w:val="24"/>
          <w:lang w:val="en-US" w:eastAsia="vi-VN"/>
        </w:rPr>
        <w:t>ố</w:t>
      </w:r>
      <w:r w:rsidRPr="00F17E89">
        <w:rPr>
          <w:rFonts w:eastAsia="Times New Roman" w:cs="Times New Roman"/>
          <w:i/>
          <w:iCs/>
          <w:szCs w:val="24"/>
          <w:lang w:eastAsia="vi-VN"/>
        </w:rPr>
        <w:t>i đoái).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val="en-US" w:eastAsia="vi-VN"/>
        </w:rPr>
        <w:t>l</w:t>
      </w:r>
      <w:r w:rsidRPr="00F17E89">
        <w:rPr>
          <w:rFonts w:eastAsia="Times New Roman" w:cs="Times New Roman"/>
          <w:i/>
          <w:iCs/>
          <w:szCs w:val="24"/>
          <w:lang w:eastAsia="vi-VN"/>
        </w:rPr>
        <w:t>) Trường hợp doanh nghiệp sử dụng tỷ giá giao dịch thực tế để hạch toán bên C</w:t>
      </w:r>
      <w:r w:rsidRPr="00F17E89">
        <w:rPr>
          <w:rFonts w:eastAsia="Times New Roman" w:cs="Times New Roman"/>
          <w:i/>
          <w:iCs/>
          <w:szCs w:val="24"/>
          <w:lang w:val="en-US" w:eastAsia="vi-VN"/>
        </w:rPr>
        <w:t xml:space="preserve">ó </w:t>
      </w:r>
      <w:r w:rsidRPr="00F17E89">
        <w:rPr>
          <w:rFonts w:eastAsia="Times New Roman" w:cs="Times New Roman"/>
          <w:i/>
          <w:iCs/>
          <w:szCs w:val="24"/>
          <w:lang w:eastAsia="vi-VN"/>
        </w:rPr>
        <w:t>các tài Khoản v</w:t>
      </w:r>
      <w:r w:rsidRPr="00F17E89">
        <w:rPr>
          <w:rFonts w:eastAsia="Times New Roman" w:cs="Times New Roman"/>
          <w:i/>
          <w:iCs/>
          <w:szCs w:val="24"/>
          <w:lang w:val="en-US" w:eastAsia="vi-VN"/>
        </w:rPr>
        <w:t>ố</w:t>
      </w:r>
      <w:r w:rsidRPr="00F17E89">
        <w:rPr>
          <w:rFonts w:eastAsia="Times New Roman" w:cs="Times New Roman"/>
          <w:i/>
          <w:iCs/>
          <w:szCs w:val="24"/>
          <w:lang w:eastAsia="vi-VN"/>
        </w:rPr>
        <w:t xml:space="preserve">n bằng tiền, bên Có các tài Khoản nợ phải thu, bên Nợ các tài Khoản phải trả bằng ngoại tệ, việc ghi nhận chênh </w:t>
      </w:r>
      <w:r w:rsidRPr="00F17E89">
        <w:rPr>
          <w:rFonts w:eastAsia="Times New Roman" w:cs="Times New Roman"/>
          <w:i/>
          <w:iCs/>
          <w:szCs w:val="24"/>
          <w:lang w:val="en-US" w:eastAsia="vi-VN"/>
        </w:rPr>
        <w:t>l</w:t>
      </w:r>
      <w:r w:rsidRPr="00F17E89">
        <w:rPr>
          <w:rFonts w:eastAsia="Times New Roman" w:cs="Times New Roman"/>
          <w:i/>
          <w:iCs/>
          <w:szCs w:val="24"/>
          <w:lang w:eastAsia="vi-VN"/>
        </w:rPr>
        <w:t>ệch tỷ gi</w:t>
      </w:r>
      <w:r w:rsidRPr="00F17E89">
        <w:rPr>
          <w:rFonts w:eastAsia="Times New Roman" w:cs="Times New Roman"/>
          <w:i/>
          <w:iCs/>
          <w:szCs w:val="24"/>
          <w:lang w:val="en-US" w:eastAsia="vi-VN"/>
        </w:rPr>
        <w:t xml:space="preserve">á </w:t>
      </w:r>
      <w:r w:rsidRPr="00F17E89">
        <w:rPr>
          <w:rFonts w:eastAsia="Times New Roman" w:cs="Times New Roman"/>
          <w:i/>
          <w:iCs/>
          <w:szCs w:val="24"/>
          <w:lang w:eastAsia="vi-VN"/>
        </w:rPr>
        <w:t xml:space="preserve">hối đoái phát sinh trong kỳ được thực hiện tại thời Điểm </w:t>
      </w:r>
      <w:r w:rsidRPr="00F17E89">
        <w:rPr>
          <w:rFonts w:eastAsia="Times New Roman" w:cs="Times New Roman"/>
          <w:i/>
          <w:iCs/>
          <w:szCs w:val="24"/>
          <w:shd w:val="solid" w:color="FFFFFF" w:fill="auto"/>
          <w:lang w:eastAsia="vi-VN"/>
        </w:rPr>
        <w:t>phát sinh</w:t>
      </w:r>
      <w:r w:rsidRPr="00F17E89">
        <w:rPr>
          <w:rFonts w:eastAsia="Times New Roman" w:cs="Times New Roman"/>
          <w:i/>
          <w:iCs/>
          <w:szCs w:val="24"/>
          <w:lang w:eastAsia="vi-VN"/>
        </w:rPr>
        <w:t xml:space="preserve"> giao dịch hoặc định kỳ tùy theo đặc Điểm hoạt động kinh doanh và yêu cầu quản </w:t>
      </w:r>
      <w:r w:rsidRPr="00F17E89">
        <w:rPr>
          <w:rFonts w:eastAsia="Times New Roman" w:cs="Times New Roman"/>
          <w:i/>
          <w:iCs/>
          <w:szCs w:val="24"/>
          <w:lang w:val="en-US" w:eastAsia="vi-VN"/>
        </w:rPr>
        <w:t xml:space="preserve">lý </w:t>
      </w:r>
      <w:r w:rsidRPr="00F17E89">
        <w:rPr>
          <w:rFonts w:eastAsia="Times New Roman" w:cs="Times New Roman"/>
          <w:i/>
          <w:iCs/>
          <w:szCs w:val="24"/>
          <w:lang w:eastAsia="vi-VN"/>
        </w:rPr>
        <w:t>của doanh nghiệp. Đồng thời tại thời Điểm cuối kỳ kế toán:</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 Các Khoản Mục tiền tệ có gốc ngoại tệ không còn số dư nguyên tệ thì doanh nghiệp phải kết chuyển toàn bộ chênh lệch tỷ giá hối đoái </w:t>
      </w:r>
      <w:r w:rsidRPr="00F17E89">
        <w:rPr>
          <w:rFonts w:eastAsia="Times New Roman" w:cs="Times New Roman"/>
          <w:i/>
          <w:iCs/>
          <w:szCs w:val="24"/>
          <w:shd w:val="solid" w:color="FFFFFF" w:fill="auto"/>
          <w:lang w:eastAsia="vi-VN"/>
        </w:rPr>
        <w:t>phát sinh</w:t>
      </w:r>
      <w:r w:rsidRPr="00F17E89">
        <w:rPr>
          <w:rFonts w:eastAsia="Times New Roman" w:cs="Times New Roman"/>
          <w:i/>
          <w:iCs/>
          <w:szCs w:val="24"/>
          <w:lang w:eastAsia="vi-VN"/>
        </w:rPr>
        <w:t xml:space="preserve"> trong kỳ vào doanh thu tài chính hoặc chi </w:t>
      </w:r>
      <w:r w:rsidRPr="00F17E89">
        <w:rPr>
          <w:rFonts w:eastAsia="Times New Roman" w:cs="Times New Roman"/>
          <w:i/>
          <w:iCs/>
          <w:szCs w:val="24"/>
          <w:shd w:val="solid" w:color="FFFFFF" w:fill="auto"/>
          <w:lang w:eastAsia="vi-VN"/>
        </w:rPr>
        <w:t>phí</w:t>
      </w:r>
      <w:r w:rsidRPr="00F17E89">
        <w:rPr>
          <w:rFonts w:eastAsia="Times New Roman" w:cs="Times New Roman"/>
          <w:i/>
          <w:iCs/>
          <w:szCs w:val="24"/>
          <w:lang w:eastAsia="vi-VN"/>
        </w:rPr>
        <w:t xml:space="preserve"> </w:t>
      </w:r>
      <w:r w:rsidRPr="00F17E89">
        <w:rPr>
          <w:rFonts w:eastAsia="Times New Roman" w:cs="Times New Roman"/>
          <w:i/>
          <w:iCs/>
          <w:szCs w:val="24"/>
          <w:shd w:val="solid" w:color="FFFFFF" w:fill="auto"/>
          <w:lang w:eastAsia="vi-VN"/>
        </w:rPr>
        <w:t>tài chính</w:t>
      </w:r>
      <w:r w:rsidRPr="00F17E89">
        <w:rPr>
          <w:rFonts w:eastAsia="Times New Roman" w:cs="Times New Roman"/>
          <w:i/>
          <w:iCs/>
          <w:szCs w:val="24"/>
          <w:lang w:eastAsia="vi-VN"/>
        </w:rPr>
        <w:t xml:space="preserve"> của kỳ báo cáo:</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Kết chuyển lãi chênh lệch tỷ giá hối đoái, ghi: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Nợ các TK 1112, 1122, 128, 228, 131, 136, 138, 331, 341,..</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Có TK 515 - Doanh thu hoạt động tài chính.</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 </w:t>
      </w:r>
      <w:r w:rsidRPr="00F17E89">
        <w:rPr>
          <w:rFonts w:eastAsia="Times New Roman" w:cs="Times New Roman"/>
          <w:i/>
          <w:iCs/>
          <w:szCs w:val="24"/>
          <w:shd w:val="solid" w:color="FFFFFF" w:fill="auto"/>
          <w:lang w:eastAsia="vi-VN"/>
        </w:rPr>
        <w:t>Kết</w:t>
      </w:r>
      <w:r w:rsidRPr="00F17E89">
        <w:rPr>
          <w:rFonts w:eastAsia="Times New Roman" w:cs="Times New Roman"/>
          <w:i/>
          <w:iCs/>
          <w:szCs w:val="24"/>
          <w:lang w:eastAsia="vi-VN"/>
        </w:rPr>
        <w:t xml:space="preserve"> chuyển chênh lệch lỗ tỷ giá hối đoái, ghi: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Nợ TK 635 - Chi phí tài chính</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Có các TK 1112, 1122, 128, 228, 131, 136, 138, 331, 341,...</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 xml:space="preserve">- Các Khoản Mục tiền tệ có gốc ngoại tệ còn số dư nguyên tệ thì doanh nghiệp phải đánh giá lại các Khoản Mục tiền tệ có gốc ngoại tệ cuối kỳ và việc hạch toán Khoản chênh lệch tỷ giá hối đoái do đánh giá lại các Khoản Mục tiền tệ có gốc ngoại tệ cuối kỳ được thực hiện theo quy định tại </w:t>
      </w:r>
      <w:bookmarkStart w:id="9" w:name="dc_22"/>
      <w:r w:rsidRPr="00F17E89">
        <w:rPr>
          <w:rFonts w:eastAsia="Times New Roman" w:cs="Times New Roman"/>
          <w:i/>
          <w:iCs/>
          <w:szCs w:val="24"/>
          <w:lang w:eastAsia="vi-VN"/>
        </w:rPr>
        <w:t>Khoản 4.2 Điều 69 Thông tư số 200/2014/TT-BTC</w:t>
      </w:r>
      <w:bookmarkEnd w:id="9"/>
      <w:r w:rsidRPr="00F17E89">
        <w:rPr>
          <w:rFonts w:eastAsia="Times New Roman" w:cs="Times New Roman"/>
          <w:i/>
          <w:iCs/>
          <w:szCs w:val="24"/>
          <w:lang w:eastAsia="vi-VN"/>
        </w:rPr>
        <w:t>”.</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m) Doanh nghiệp phải thuyết minh rõ về việc lựa chọn áp dụng tỷ giá hối đoái trên thuyết minh báo cáo tài chính và việc lựa chọn áp dụng tỷ giá hối đoái phải đảm bảo nguyên tắc nhất quán theo quy định của chuẩn mực kế toán”.</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szCs w:val="24"/>
          <w:lang w:eastAsia="vi-VN"/>
        </w:rPr>
        <w:t xml:space="preserve">6. </w:t>
      </w:r>
      <w:bookmarkStart w:id="10" w:name="dc_23"/>
      <w:r w:rsidRPr="00F17E89">
        <w:rPr>
          <w:rFonts w:eastAsia="Times New Roman" w:cs="Times New Roman"/>
          <w:szCs w:val="24"/>
          <w:lang w:eastAsia="vi-VN"/>
        </w:rPr>
        <w:t>Điều 120 Thông tư số 200/2014/TT-BTC</w:t>
      </w:r>
      <w:bookmarkEnd w:id="10"/>
      <w:r w:rsidRPr="00F17E89">
        <w:rPr>
          <w:rFonts w:eastAsia="Times New Roman" w:cs="Times New Roman"/>
          <w:szCs w:val="24"/>
          <w:lang w:eastAsia="vi-VN"/>
        </w:rPr>
        <w:t xml:space="preserve"> được sửa đổi, bổ sung như sau: </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b/>
          <w:bCs/>
          <w:i/>
          <w:iCs/>
          <w:szCs w:val="24"/>
          <w:lang w:eastAsia="vi-VN"/>
        </w:rPr>
        <w:t>“Điều 120. Dịch chứng từ kế toán ra tiếng Việt</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1. Các chứng từ kế toán ghi bằng tiếng nước ngoài, khi sử dụng để ghi sổ kế toán ở Việt Nam phải được dịch ra tiếng Việt. Những chứng từ ít phát sinh hoặc nhiều lần phát sinh nhưng có nội dung không giống nhau thì phải dịch toàn bộ nội dung chứng từ kế toán. Những chứng từ phát sinh nhiều lần, có nội dung giống nhau thì bản đầu phải dịch toàn bộ, từ bản thứ hai trở đi chỉ dịch những nội dung chủ yếu như: Tên chứng từ, tên đơn vị và cá nhân lập, tên đơn vị và cá nhân nhận, nội dung kinh tế của chứng từ, chức danh của người ký trên chứng từ... Người dịch phải ký, ghi rõ họ tên và chịu trách nhiệm về nội dung dịch ra tiếng Việt. Bản chứng từ dịch ra tiếng Việt phải đính kèm với bản chính bằng tiếng nước ngoài.</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i/>
          <w:iCs/>
          <w:szCs w:val="24"/>
          <w:lang w:eastAsia="vi-VN"/>
        </w:rPr>
        <w:t>2. Các tài liệu kèm theo chứng từ kế toán như các loại hợp đồng, hồ sơ kèm theo chứng từ thanh toán, hồ sơ dự án đầu tư, báo cáo quyết toán và các tài liệu liên quan khác không phải dịch ra tiếng Việt trừ trường hợp khi có yêu cầu của cơ quan nhà nước có thẩm quyền.”</w:t>
      </w:r>
    </w:p>
    <w:p w:rsidR="00F17E89" w:rsidRPr="00F17E89" w:rsidRDefault="00F17E89" w:rsidP="00F17E89">
      <w:pPr>
        <w:spacing w:before="120" w:after="100" w:afterAutospacing="1" w:line="240" w:lineRule="auto"/>
        <w:rPr>
          <w:rFonts w:eastAsia="Times New Roman" w:cs="Times New Roman"/>
          <w:szCs w:val="24"/>
          <w:lang w:val="en-US" w:eastAsia="vi-VN"/>
        </w:rPr>
      </w:pPr>
      <w:r w:rsidRPr="00F17E89">
        <w:rPr>
          <w:rFonts w:eastAsia="Times New Roman" w:cs="Times New Roman"/>
          <w:b/>
          <w:bCs/>
          <w:szCs w:val="24"/>
          <w:lang w:eastAsia="vi-VN"/>
        </w:rPr>
        <w:lastRenderedPageBreak/>
        <w:t>Điều 2. Hi</w:t>
      </w:r>
      <w:r w:rsidRPr="00F17E89">
        <w:rPr>
          <w:rFonts w:eastAsia="Times New Roman" w:cs="Times New Roman"/>
          <w:b/>
          <w:bCs/>
          <w:szCs w:val="24"/>
          <w:lang w:val="en-US" w:eastAsia="vi-VN"/>
        </w:rPr>
        <w:t>ệ</w:t>
      </w:r>
      <w:r w:rsidRPr="00F17E89">
        <w:rPr>
          <w:rFonts w:eastAsia="Times New Roman" w:cs="Times New Roman"/>
          <w:b/>
          <w:bCs/>
          <w:szCs w:val="24"/>
          <w:lang w:eastAsia="vi-VN"/>
        </w:rPr>
        <w:t>u I</w:t>
      </w:r>
      <w:r w:rsidRPr="00F17E89">
        <w:rPr>
          <w:rFonts w:eastAsia="Times New Roman" w:cs="Times New Roman"/>
          <w:b/>
          <w:bCs/>
          <w:szCs w:val="24"/>
          <w:lang w:val="en-US" w:eastAsia="vi-VN"/>
        </w:rPr>
        <w:t>ự</w:t>
      </w:r>
      <w:r w:rsidRPr="00F17E89">
        <w:rPr>
          <w:rFonts w:eastAsia="Times New Roman" w:cs="Times New Roman"/>
          <w:b/>
          <w:bCs/>
          <w:szCs w:val="24"/>
          <w:lang w:eastAsia="vi-VN"/>
        </w:rPr>
        <w:t xml:space="preserve">c thi hành và tổ chức </w:t>
      </w:r>
      <w:r w:rsidRPr="00F17E89">
        <w:rPr>
          <w:rFonts w:eastAsia="Times New Roman" w:cs="Times New Roman"/>
          <w:b/>
          <w:bCs/>
          <w:szCs w:val="24"/>
          <w:shd w:val="solid" w:color="FFFFFF" w:fill="auto"/>
          <w:lang w:eastAsia="vi-VN"/>
        </w:rPr>
        <w:t>thực hiện</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szCs w:val="24"/>
          <w:lang w:eastAsia="vi-VN"/>
        </w:rPr>
        <w:t>1. Thông tư này có hiệu lực thi hành kể từ ngày ký ban hành và áp dụng cho năm tài chính bắt đầu hoặc sau ngày 1/1/2016. Các doanh nghiệp được lựa chọn áp dụng tỷ giá hối đoái quy định tại Điều 1 Thông tư này cho Báo cáo tài chính năm 2015.</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szCs w:val="24"/>
          <w:lang w:eastAsia="vi-VN"/>
        </w:rPr>
        <w:t>2. Các quy định khác về tỷ giá tại Thông tư số 200/2014/TT-BTC được thực hiện theo các nguyên tắc quy định tại Thông tư này.</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szCs w:val="24"/>
          <w:lang w:eastAsia="vi-VN"/>
        </w:rPr>
        <w:t xml:space="preserve">3. Trong quá trình thực hiện nếu có vướng mắc, đề nghị các doanh nghiệp thông báo cho Bộ Tài chính để </w:t>
      </w:r>
      <w:r w:rsidRPr="00F17E89">
        <w:rPr>
          <w:rFonts w:eastAsia="Times New Roman" w:cs="Times New Roman"/>
          <w:szCs w:val="24"/>
          <w:shd w:val="solid" w:color="FFFFFF" w:fill="auto"/>
          <w:lang w:eastAsia="vi-VN"/>
        </w:rPr>
        <w:t>nghiên cứu</w:t>
      </w:r>
      <w:r w:rsidRPr="00F17E89">
        <w:rPr>
          <w:rFonts w:eastAsia="Times New Roman" w:cs="Times New Roman"/>
          <w:szCs w:val="24"/>
          <w:lang w:eastAsia="vi-VN"/>
        </w:rPr>
        <w:t xml:space="preserve"> giải quyết./.</w:t>
      </w:r>
    </w:p>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5028"/>
        <w:gridCol w:w="3828"/>
      </w:tblGrid>
      <w:tr w:rsidR="00F17E89" w:rsidRPr="00F17E89" w:rsidTr="00F17E89">
        <w:tc>
          <w:tcPr>
            <w:tcW w:w="5028" w:type="dxa"/>
            <w:tcBorders>
              <w:top w:val="nil"/>
              <w:left w:val="nil"/>
              <w:bottom w:val="nil"/>
              <w:right w:val="nil"/>
            </w:tcBorders>
            <w:tcMar>
              <w:top w:w="0" w:type="dxa"/>
              <w:left w:w="108" w:type="dxa"/>
              <w:bottom w:w="0" w:type="dxa"/>
              <w:right w:w="108" w:type="dxa"/>
            </w:tcMar>
            <w:hideMark/>
          </w:tcPr>
          <w:p w:rsidR="00F17E89" w:rsidRPr="00F17E89" w:rsidRDefault="00F17E89" w:rsidP="00F17E89">
            <w:pPr>
              <w:spacing w:before="120" w:after="0" w:line="240" w:lineRule="auto"/>
              <w:rPr>
                <w:rFonts w:eastAsia="Times New Roman" w:cs="Times New Roman"/>
                <w:szCs w:val="24"/>
                <w:lang w:eastAsia="vi-VN"/>
              </w:rPr>
            </w:pPr>
            <w:r w:rsidRPr="00F17E89">
              <w:rPr>
                <w:rFonts w:eastAsia="Times New Roman" w:cs="Times New Roman"/>
                <w:szCs w:val="24"/>
                <w:lang w:eastAsia="vi-VN"/>
              </w:rPr>
              <w:br/>
            </w:r>
            <w:r w:rsidRPr="00F17E89">
              <w:rPr>
                <w:rFonts w:eastAsia="Times New Roman" w:cs="Times New Roman"/>
                <w:b/>
                <w:bCs/>
                <w:i/>
                <w:iCs/>
                <w:szCs w:val="24"/>
                <w:lang w:eastAsia="vi-VN"/>
              </w:rPr>
              <w:t>Nơi nhận:</w:t>
            </w:r>
            <w:r w:rsidRPr="00F17E89">
              <w:rPr>
                <w:rFonts w:eastAsia="Times New Roman" w:cs="Times New Roman"/>
                <w:b/>
                <w:bCs/>
                <w:i/>
                <w:iCs/>
                <w:szCs w:val="24"/>
                <w:lang w:eastAsia="vi-VN"/>
              </w:rPr>
              <w:br/>
            </w:r>
            <w:r w:rsidRPr="00F17E89">
              <w:rPr>
                <w:rFonts w:eastAsia="Times New Roman" w:cs="Times New Roman"/>
                <w:sz w:val="16"/>
                <w:szCs w:val="24"/>
                <w:lang w:eastAsia="vi-VN"/>
              </w:rPr>
              <w:t>- Thủ tướng, các Phó Thủ tướng Chính phủ;</w:t>
            </w:r>
            <w:r w:rsidRPr="00F17E89">
              <w:rPr>
                <w:rFonts w:eastAsia="Times New Roman" w:cs="Times New Roman"/>
                <w:sz w:val="16"/>
                <w:szCs w:val="24"/>
                <w:lang w:eastAsia="vi-VN"/>
              </w:rPr>
              <w:br/>
              <w:t>- Văn phòng TW Đảng;</w:t>
            </w:r>
            <w:r w:rsidRPr="00F17E89">
              <w:rPr>
                <w:rFonts w:eastAsia="Times New Roman" w:cs="Times New Roman"/>
                <w:sz w:val="16"/>
                <w:szCs w:val="24"/>
                <w:lang w:eastAsia="vi-VN"/>
              </w:rPr>
              <w:br/>
              <w:t>- Văn phòng Quốc hội;</w:t>
            </w:r>
            <w:r w:rsidRPr="00F17E89">
              <w:rPr>
                <w:rFonts w:eastAsia="Times New Roman" w:cs="Times New Roman"/>
                <w:sz w:val="16"/>
                <w:szCs w:val="24"/>
                <w:lang w:eastAsia="vi-VN"/>
              </w:rPr>
              <w:br/>
              <w:t>- Văn phòng Chủ tịch nước;</w:t>
            </w:r>
            <w:r w:rsidRPr="00F17E89">
              <w:rPr>
                <w:rFonts w:eastAsia="Times New Roman" w:cs="Times New Roman"/>
                <w:sz w:val="16"/>
                <w:szCs w:val="24"/>
                <w:lang w:eastAsia="vi-VN"/>
              </w:rPr>
              <w:br/>
              <w:t>- Văn phòng Chính phủ;</w:t>
            </w:r>
            <w:r w:rsidRPr="00F17E89">
              <w:rPr>
                <w:rFonts w:eastAsia="Times New Roman" w:cs="Times New Roman"/>
                <w:sz w:val="16"/>
                <w:szCs w:val="24"/>
                <w:lang w:eastAsia="vi-VN"/>
              </w:rPr>
              <w:br/>
              <w:t>- Các Bộ, cơ quan ngang Bộ;</w:t>
            </w:r>
            <w:r w:rsidRPr="00F17E89">
              <w:rPr>
                <w:rFonts w:eastAsia="Times New Roman" w:cs="Times New Roman"/>
                <w:sz w:val="16"/>
                <w:szCs w:val="24"/>
                <w:lang w:eastAsia="vi-VN"/>
              </w:rPr>
              <w:br/>
              <w:t>- Tòa án NDTC;</w:t>
            </w:r>
            <w:r w:rsidRPr="00F17E89">
              <w:rPr>
                <w:rFonts w:eastAsia="Times New Roman" w:cs="Times New Roman"/>
                <w:sz w:val="16"/>
                <w:szCs w:val="24"/>
                <w:lang w:eastAsia="vi-VN"/>
              </w:rPr>
              <w:br/>
              <w:t>- Viện Kiểm sát NDTC;</w:t>
            </w:r>
            <w:r w:rsidRPr="00F17E89">
              <w:rPr>
                <w:rFonts w:eastAsia="Times New Roman" w:cs="Times New Roman"/>
                <w:sz w:val="16"/>
                <w:szCs w:val="24"/>
                <w:lang w:eastAsia="vi-VN"/>
              </w:rPr>
              <w:br/>
              <w:t>- Kiểm toán Nhà nước;</w:t>
            </w:r>
            <w:r w:rsidRPr="00F17E89">
              <w:rPr>
                <w:rFonts w:eastAsia="Times New Roman" w:cs="Times New Roman"/>
                <w:sz w:val="16"/>
                <w:szCs w:val="24"/>
                <w:lang w:eastAsia="vi-VN"/>
              </w:rPr>
              <w:br/>
              <w:t>- UBND tỉnh, thành phố trực thuộc TW;</w:t>
            </w:r>
            <w:r w:rsidRPr="00F17E89">
              <w:rPr>
                <w:rFonts w:eastAsia="Times New Roman" w:cs="Times New Roman"/>
                <w:sz w:val="16"/>
                <w:szCs w:val="24"/>
                <w:lang w:eastAsia="vi-VN"/>
              </w:rPr>
              <w:br/>
              <w:t>- Cơ quan TW của các đoàn thể;</w:t>
            </w:r>
            <w:r w:rsidRPr="00F17E89">
              <w:rPr>
                <w:rFonts w:eastAsia="Times New Roman" w:cs="Times New Roman"/>
                <w:sz w:val="16"/>
                <w:szCs w:val="24"/>
                <w:lang w:eastAsia="vi-VN"/>
              </w:rPr>
              <w:br/>
              <w:t>- Cục Kiểm tra văn bản - Bộ Tư pháp</w:t>
            </w:r>
            <w:r w:rsidRPr="00F17E89">
              <w:rPr>
                <w:rFonts w:eastAsia="Times New Roman" w:cs="Times New Roman"/>
                <w:sz w:val="16"/>
                <w:szCs w:val="24"/>
                <w:lang w:eastAsia="vi-VN"/>
              </w:rPr>
              <w:br/>
              <w:t>- Sở Tài chính, Cục Thuế các tỉnh, thành phố trực thuộc TW;</w:t>
            </w:r>
            <w:r w:rsidRPr="00F17E89">
              <w:rPr>
                <w:rFonts w:eastAsia="Times New Roman" w:cs="Times New Roman"/>
                <w:sz w:val="16"/>
                <w:szCs w:val="24"/>
                <w:lang w:eastAsia="vi-VN"/>
              </w:rPr>
              <w:br/>
              <w:t>- Các TCT, tập đoàn kinh tế;</w:t>
            </w:r>
            <w:r w:rsidRPr="00F17E89">
              <w:rPr>
                <w:rFonts w:eastAsia="Times New Roman" w:cs="Times New Roman"/>
                <w:sz w:val="16"/>
                <w:szCs w:val="24"/>
                <w:lang w:eastAsia="vi-VN"/>
              </w:rPr>
              <w:br/>
              <w:t>- Công báo;</w:t>
            </w:r>
            <w:r w:rsidRPr="00F17E89">
              <w:rPr>
                <w:rFonts w:eastAsia="Times New Roman" w:cs="Times New Roman"/>
                <w:sz w:val="16"/>
                <w:szCs w:val="24"/>
                <w:lang w:eastAsia="vi-VN"/>
              </w:rPr>
              <w:br/>
              <w:t>- Vụ Pháp chế - Bộ Tài chính;</w:t>
            </w:r>
            <w:r w:rsidRPr="00F17E89">
              <w:rPr>
                <w:rFonts w:eastAsia="Times New Roman" w:cs="Times New Roman"/>
                <w:sz w:val="16"/>
                <w:szCs w:val="24"/>
                <w:lang w:eastAsia="vi-VN"/>
              </w:rPr>
              <w:br/>
              <w:t>- Các đơn vị thuộc Bộ Tài chính;</w:t>
            </w:r>
            <w:r w:rsidRPr="00F17E89">
              <w:rPr>
                <w:rFonts w:eastAsia="Times New Roman" w:cs="Times New Roman"/>
                <w:sz w:val="16"/>
                <w:szCs w:val="24"/>
                <w:lang w:eastAsia="vi-VN"/>
              </w:rPr>
              <w:br/>
              <w:t>- Website Chính phủ; Website Bộ Tài chính;</w:t>
            </w:r>
            <w:r w:rsidRPr="00F17E89">
              <w:rPr>
                <w:rFonts w:eastAsia="Times New Roman" w:cs="Times New Roman"/>
                <w:sz w:val="16"/>
                <w:szCs w:val="24"/>
                <w:lang w:eastAsia="vi-VN"/>
              </w:rPr>
              <w:br/>
              <w:t>- Lưu: VT, Vụ CĐKT.</w:t>
            </w:r>
          </w:p>
        </w:tc>
        <w:tc>
          <w:tcPr>
            <w:tcW w:w="3828" w:type="dxa"/>
            <w:tcBorders>
              <w:top w:val="nil"/>
              <w:left w:val="nil"/>
              <w:bottom w:val="nil"/>
              <w:right w:val="nil"/>
            </w:tcBorders>
            <w:tcMar>
              <w:top w:w="0" w:type="dxa"/>
              <w:left w:w="108" w:type="dxa"/>
              <w:bottom w:w="0" w:type="dxa"/>
              <w:right w:w="108" w:type="dxa"/>
            </w:tcMar>
            <w:hideMark/>
          </w:tcPr>
          <w:p w:rsidR="00F17E89" w:rsidRPr="00F17E89" w:rsidRDefault="00F17E89" w:rsidP="00F17E89">
            <w:pPr>
              <w:spacing w:before="120" w:after="0" w:line="240" w:lineRule="auto"/>
              <w:jc w:val="center"/>
              <w:rPr>
                <w:rFonts w:eastAsia="Times New Roman" w:cs="Times New Roman"/>
                <w:szCs w:val="24"/>
                <w:lang w:eastAsia="vi-VN"/>
              </w:rPr>
            </w:pPr>
            <w:r w:rsidRPr="00F17E89">
              <w:rPr>
                <w:rFonts w:eastAsia="Times New Roman" w:cs="Times New Roman"/>
                <w:b/>
                <w:bCs/>
                <w:szCs w:val="24"/>
                <w:lang w:eastAsia="vi-VN"/>
              </w:rPr>
              <w:t>KT. BỘ TRƯỞNG</w:t>
            </w:r>
            <w:r w:rsidRPr="00F17E89">
              <w:rPr>
                <w:rFonts w:eastAsia="Times New Roman" w:cs="Times New Roman"/>
                <w:b/>
                <w:bCs/>
                <w:szCs w:val="24"/>
                <w:lang w:eastAsia="vi-VN"/>
              </w:rPr>
              <w:br/>
              <w:t>THỨ TRƯỞNG</w:t>
            </w:r>
            <w:r w:rsidRPr="00F17E89">
              <w:rPr>
                <w:rFonts w:eastAsia="Times New Roman" w:cs="Times New Roman"/>
                <w:b/>
                <w:bCs/>
                <w:szCs w:val="24"/>
                <w:lang w:eastAsia="vi-VN"/>
              </w:rPr>
              <w:br/>
            </w:r>
            <w:r w:rsidRPr="00F17E89">
              <w:rPr>
                <w:rFonts w:eastAsia="Times New Roman" w:cs="Times New Roman"/>
                <w:b/>
                <w:bCs/>
                <w:szCs w:val="24"/>
                <w:lang w:eastAsia="vi-VN"/>
              </w:rPr>
              <w:br/>
            </w:r>
            <w:r w:rsidRPr="00F17E89">
              <w:rPr>
                <w:rFonts w:eastAsia="Times New Roman" w:cs="Times New Roman"/>
                <w:b/>
                <w:bCs/>
                <w:szCs w:val="24"/>
                <w:lang w:eastAsia="vi-VN"/>
              </w:rPr>
              <w:br/>
            </w:r>
            <w:r w:rsidRPr="00F17E89">
              <w:rPr>
                <w:rFonts w:eastAsia="Times New Roman" w:cs="Times New Roman"/>
                <w:b/>
                <w:bCs/>
                <w:szCs w:val="24"/>
                <w:lang w:eastAsia="vi-VN"/>
              </w:rPr>
              <w:br/>
            </w:r>
            <w:r w:rsidRPr="00F17E89">
              <w:rPr>
                <w:rFonts w:eastAsia="Times New Roman" w:cs="Times New Roman"/>
                <w:b/>
                <w:bCs/>
                <w:szCs w:val="24"/>
                <w:lang w:eastAsia="vi-VN"/>
              </w:rPr>
              <w:br/>
              <w:t>Trần Xuân Hà</w:t>
            </w:r>
          </w:p>
        </w:tc>
      </w:tr>
    </w:tbl>
    <w:p w:rsidR="00F17E89" w:rsidRPr="00F17E89" w:rsidRDefault="00F17E89" w:rsidP="00F17E89">
      <w:pPr>
        <w:spacing w:before="120" w:after="100" w:afterAutospacing="1" w:line="240" w:lineRule="auto"/>
        <w:rPr>
          <w:rFonts w:eastAsia="Times New Roman" w:cs="Times New Roman"/>
          <w:szCs w:val="24"/>
          <w:lang w:eastAsia="vi-VN"/>
        </w:rPr>
      </w:pPr>
      <w:r w:rsidRPr="00F17E89">
        <w:rPr>
          <w:rFonts w:eastAsia="Times New Roman" w:cs="Times New Roman"/>
          <w:szCs w:val="24"/>
          <w:lang w:eastAsia="vi-VN"/>
        </w:rPr>
        <w:t> </w:t>
      </w:r>
    </w:p>
    <w:p w:rsidR="00FD1E34" w:rsidRPr="00F17E89" w:rsidRDefault="00FD1E34" w:rsidP="00F17E89">
      <w:bookmarkStart w:id="11" w:name="_GoBack"/>
      <w:bookmarkEnd w:id="11"/>
    </w:p>
    <w:sectPr w:rsidR="00FD1E34" w:rsidRPr="00F17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A3"/>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231B"/>
    <w:multiLevelType w:val="hybridMultilevel"/>
    <w:tmpl w:val="8E0CE2D4"/>
    <w:lvl w:ilvl="0" w:tplc="6E12348E">
      <w:start w:val="11"/>
      <w:numFmt w:val="decimal"/>
      <w:lvlText w:val="%1."/>
      <w:lvlJc w:val="left"/>
      <w:pPr>
        <w:tabs>
          <w:tab w:val="num" w:pos="392"/>
        </w:tabs>
        <w:ind w:left="39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9F7CF3"/>
    <w:multiLevelType w:val="singleLevel"/>
    <w:tmpl w:val="296C9332"/>
    <w:lvl w:ilvl="0">
      <w:start w:val="1"/>
      <w:numFmt w:val="lowerLetter"/>
      <w:lvlText w:val="%1) "/>
      <w:legacy w:legacy="1" w:legacySpace="0" w:legacyIndent="360"/>
      <w:lvlJc w:val="left"/>
      <w:pPr>
        <w:ind w:left="360" w:hanging="360"/>
      </w:pPr>
      <w:rPr>
        <w:rFonts w:ascii=".VnTime" w:hAnsi=".VnTime" w:hint="default"/>
        <w:b/>
        <w:i w:val="0"/>
        <w:strike w:val="0"/>
        <w:dstrike w:val="0"/>
        <w:sz w:val="26"/>
        <w:szCs w:val="26"/>
        <w:u w:val="none"/>
        <w:effect w:val="none"/>
      </w:rPr>
    </w:lvl>
  </w:abstractNum>
  <w:abstractNum w:abstractNumId="2" w15:restartNumberingAfterBreak="0">
    <w:nsid w:val="18B9387F"/>
    <w:multiLevelType w:val="hybridMultilevel"/>
    <w:tmpl w:val="E90E5AA4"/>
    <w:lvl w:ilvl="0" w:tplc="F81E6276">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26C4D34"/>
    <w:multiLevelType w:val="singleLevel"/>
    <w:tmpl w:val="45C2AB20"/>
    <w:lvl w:ilvl="0">
      <w:start w:val="1"/>
      <w:numFmt w:val="lowerLetter"/>
      <w:lvlText w:val="%1) "/>
      <w:legacy w:legacy="1" w:legacySpace="0" w:legacyIndent="360"/>
      <w:lvlJc w:val="left"/>
      <w:pPr>
        <w:ind w:left="360" w:hanging="360"/>
      </w:pPr>
      <w:rPr>
        <w:rFonts w:ascii=".VnTime" w:hAnsi=".VnTime" w:hint="default"/>
        <w:b w:val="0"/>
        <w:i w:val="0"/>
        <w:strike w:val="0"/>
        <w:dstrike w:val="0"/>
        <w:sz w:val="24"/>
        <w:u w:val="none"/>
        <w:effect w:val="none"/>
      </w:rPr>
    </w:lvl>
  </w:abstractNum>
  <w:abstractNum w:abstractNumId="4" w15:restartNumberingAfterBreak="0">
    <w:nsid w:val="2AE13E45"/>
    <w:multiLevelType w:val="hybridMultilevel"/>
    <w:tmpl w:val="B17C6258"/>
    <w:lvl w:ilvl="0" w:tplc="7C9AC60E">
      <w:start w:val="44"/>
      <w:numFmt w:val="decimal"/>
      <w:lvlText w:val="%1."/>
      <w:lvlJc w:val="left"/>
      <w:pPr>
        <w:tabs>
          <w:tab w:val="num" w:pos="720"/>
        </w:tabs>
        <w:ind w:left="720" w:hanging="360"/>
      </w:pPr>
      <w:rPr>
        <w:sz w:val="26"/>
        <w:szCs w:val="26"/>
      </w:r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9CD2576"/>
    <w:multiLevelType w:val="singleLevel"/>
    <w:tmpl w:val="1A0A332C"/>
    <w:lvl w:ilvl="0">
      <w:start w:val="1"/>
      <w:numFmt w:val="lowerLetter"/>
      <w:lvlText w:val="%1) "/>
      <w:legacy w:legacy="1" w:legacySpace="0" w:legacyIndent="360"/>
      <w:lvlJc w:val="left"/>
      <w:pPr>
        <w:ind w:left="360" w:hanging="360"/>
      </w:pPr>
      <w:rPr>
        <w:rFonts w:ascii=".VnTime" w:hAnsi=".VnTime" w:hint="default"/>
        <w:b/>
        <w:i/>
        <w:strike w:val="0"/>
        <w:dstrike w:val="0"/>
        <w:sz w:val="24"/>
        <w:u w:val="none"/>
        <w:effect w:val="none"/>
      </w:rPr>
    </w:lvl>
  </w:abstractNum>
  <w:abstractNum w:abstractNumId="6" w15:restartNumberingAfterBreak="0">
    <w:nsid w:val="461D0499"/>
    <w:multiLevelType w:val="singleLevel"/>
    <w:tmpl w:val="97B810D2"/>
    <w:lvl w:ilvl="0">
      <w:start w:val="1"/>
      <w:numFmt w:val="lowerLetter"/>
      <w:lvlText w:val="%1) "/>
      <w:legacy w:legacy="1" w:legacySpace="0" w:legacyIndent="360"/>
      <w:lvlJc w:val="left"/>
      <w:pPr>
        <w:ind w:left="720" w:hanging="360"/>
      </w:pPr>
      <w:rPr>
        <w:rFonts w:ascii=".VnTime" w:hAnsi=".VnTime" w:hint="default"/>
        <w:b/>
        <w:i/>
        <w:strike w:val="0"/>
        <w:dstrike w:val="0"/>
        <w:sz w:val="24"/>
        <w:u w:val="none"/>
        <w:effect w:val="none"/>
      </w:rPr>
    </w:lvl>
  </w:abstractNum>
  <w:abstractNum w:abstractNumId="7" w15:restartNumberingAfterBreak="0">
    <w:nsid w:val="4B065AFF"/>
    <w:multiLevelType w:val="hybridMultilevel"/>
    <w:tmpl w:val="BA7472B2"/>
    <w:lvl w:ilvl="0" w:tplc="0409000F">
      <w:start w:val="2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E892495"/>
    <w:multiLevelType w:val="hybridMultilevel"/>
    <w:tmpl w:val="395612AE"/>
    <w:lvl w:ilvl="0" w:tplc="E1E46FF6">
      <w:start w:val="67"/>
      <w:numFmt w:val="decimal"/>
      <w:lvlText w:val="%1."/>
      <w:lvlJc w:val="left"/>
      <w:pPr>
        <w:tabs>
          <w:tab w:val="num" w:pos="450"/>
        </w:tabs>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FEE206D"/>
    <w:multiLevelType w:val="singleLevel"/>
    <w:tmpl w:val="33FA544A"/>
    <w:lvl w:ilvl="0">
      <w:start w:val="1"/>
      <w:numFmt w:val="lowerLetter"/>
      <w:lvlText w:val="%1) "/>
      <w:legacy w:legacy="1" w:legacySpace="0" w:legacyIndent="360"/>
      <w:lvlJc w:val="left"/>
      <w:pPr>
        <w:ind w:left="360" w:hanging="360"/>
      </w:pPr>
      <w:rPr>
        <w:rFonts w:ascii=".VnTime" w:hAnsi=".VnTime" w:hint="default"/>
        <w:b/>
        <w:i w:val="0"/>
        <w:strike w:val="0"/>
        <w:dstrike w:val="0"/>
        <w:sz w:val="26"/>
        <w:szCs w:val="26"/>
        <w:u w:val="none"/>
        <w:effect w:val="none"/>
      </w:rPr>
    </w:lvl>
  </w:abstractNum>
  <w:abstractNum w:abstractNumId="10" w15:restartNumberingAfterBreak="0">
    <w:nsid w:val="67131928"/>
    <w:multiLevelType w:val="singleLevel"/>
    <w:tmpl w:val="45C2AB20"/>
    <w:lvl w:ilvl="0">
      <w:start w:val="1"/>
      <w:numFmt w:val="lowerLetter"/>
      <w:lvlText w:val="%1) "/>
      <w:legacy w:legacy="1" w:legacySpace="0" w:legacyIndent="360"/>
      <w:lvlJc w:val="left"/>
      <w:pPr>
        <w:ind w:left="720" w:hanging="360"/>
      </w:pPr>
      <w:rPr>
        <w:rFonts w:ascii=".VnTime" w:hAnsi=".VnTime" w:hint="default"/>
        <w:b w:val="0"/>
        <w:i w:val="0"/>
        <w:strike w:val="0"/>
        <w:dstrike w:val="0"/>
        <w:sz w:val="24"/>
        <w:u w:val="none"/>
        <w:effect w:val="none"/>
      </w:rPr>
    </w:lvl>
  </w:abstractNum>
  <w:abstractNum w:abstractNumId="11" w15:restartNumberingAfterBreak="0">
    <w:nsid w:val="6853113A"/>
    <w:multiLevelType w:val="hybridMultilevel"/>
    <w:tmpl w:val="6960256E"/>
    <w:lvl w:ilvl="0" w:tplc="C798A38A">
      <w:start w:val="9"/>
      <w:numFmt w:val="upperLetter"/>
      <w:lvlText w:val="%1-"/>
      <w:lvlJc w:val="left"/>
      <w:pPr>
        <w:tabs>
          <w:tab w:val="num" w:pos="1069"/>
        </w:tabs>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B974677"/>
    <w:multiLevelType w:val="singleLevel"/>
    <w:tmpl w:val="693CC4D4"/>
    <w:lvl w:ilvl="0">
      <w:start w:val="1"/>
      <w:numFmt w:val="lowerLetter"/>
      <w:lvlText w:val="%1) "/>
      <w:legacy w:legacy="1" w:legacySpace="0" w:legacyIndent="360"/>
      <w:lvlJc w:val="left"/>
      <w:pPr>
        <w:ind w:left="360" w:hanging="360"/>
      </w:pPr>
      <w:rPr>
        <w:rFonts w:ascii=".VnTime" w:hAnsi=".VnTime" w:hint="default"/>
        <w:b/>
        <w:i/>
        <w:strike w:val="0"/>
        <w:dstrike w:val="0"/>
        <w:sz w:val="24"/>
        <w:u w:val="none"/>
        <w:effect w:val="none"/>
      </w:rPr>
    </w:lvl>
  </w:abstractNum>
  <w:abstractNum w:abstractNumId="13" w15:restartNumberingAfterBreak="0">
    <w:nsid w:val="7C0F1463"/>
    <w:multiLevelType w:val="hybridMultilevel"/>
    <w:tmpl w:val="6884FE7E"/>
    <w:lvl w:ilvl="0" w:tplc="0409000F">
      <w:start w:val="49"/>
      <w:numFmt w:val="decimal"/>
      <w:lvlText w:val="%1."/>
      <w:lvlJc w:val="left"/>
      <w:pPr>
        <w:tabs>
          <w:tab w:val="num" w:pos="450"/>
        </w:tabs>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D433D3F"/>
    <w:multiLevelType w:val="hybridMultilevel"/>
    <w:tmpl w:val="6DCC84B6"/>
    <w:lvl w:ilvl="0" w:tplc="0409000F">
      <w:start w:val="1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num>
  <w:num w:numId="9">
    <w:abstractNumId w:val="14"/>
  </w:num>
  <w:num w:numId="10">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num>
  <w:num w:numId="13">
    <w:abstractNumId w:val="1"/>
  </w:num>
  <w:num w:numId="14">
    <w:abstractNumId w:val="1"/>
    <w:lvlOverride w:ilvl="0">
      <w:startOverride w:val="1"/>
    </w:lvlOverride>
  </w:num>
  <w:num w:numId="15">
    <w:abstractNumId w:val="7"/>
  </w:num>
  <w:num w:numId="16">
    <w:abstractNumId w:val="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
    </w:lvlOverride>
  </w:num>
  <w:num w:numId="23">
    <w:abstractNumId w:val="12"/>
  </w:num>
  <w:num w:numId="24">
    <w:abstractNumId w:val="12"/>
    <w:lvlOverride w:ilvl="0">
      <w:startOverride w:val="1"/>
    </w:lvlOverride>
  </w:num>
  <w:num w:numId="25">
    <w:abstractNumId w:val="6"/>
  </w:num>
  <w:num w:numId="26">
    <w:abstractNumId w:val="6"/>
    <w:lvlOverride w:ilvl="0">
      <w:startOverride w:val="1"/>
    </w:lvlOverride>
  </w:num>
  <w:num w:numId="27">
    <w:abstractNumId w:val="5"/>
  </w:num>
  <w:num w:numId="28">
    <w:abstractNumId w:val="5"/>
    <w:lvlOverride w:ilvl="0">
      <w:startOverride w:val="1"/>
    </w:lvlOverride>
  </w:num>
  <w:num w:numId="29">
    <w:abstractNumId w:val="8"/>
  </w:num>
  <w:num w:numId="30">
    <w:abstractNumId w:val="8"/>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1A"/>
    <w:rsid w:val="0008091D"/>
    <w:rsid w:val="00083246"/>
    <w:rsid w:val="00134C03"/>
    <w:rsid w:val="001C3D58"/>
    <w:rsid w:val="001C5CA4"/>
    <w:rsid w:val="003C1767"/>
    <w:rsid w:val="003D14F2"/>
    <w:rsid w:val="003D7E3C"/>
    <w:rsid w:val="0058251D"/>
    <w:rsid w:val="006E48DC"/>
    <w:rsid w:val="00760696"/>
    <w:rsid w:val="007B3492"/>
    <w:rsid w:val="008A157E"/>
    <w:rsid w:val="008B1124"/>
    <w:rsid w:val="00975003"/>
    <w:rsid w:val="009B35DF"/>
    <w:rsid w:val="00A43918"/>
    <w:rsid w:val="00D62DBA"/>
    <w:rsid w:val="00E4171D"/>
    <w:rsid w:val="00E6775B"/>
    <w:rsid w:val="00EC5F0E"/>
    <w:rsid w:val="00ED4CB3"/>
    <w:rsid w:val="00F1132A"/>
    <w:rsid w:val="00F17E89"/>
    <w:rsid w:val="00FA211A"/>
    <w:rsid w:val="00FD1E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A82E"/>
  <w15:chartTrackingRefBased/>
  <w15:docId w15:val="{4EF6CADB-53B0-4CCA-93DF-1DDFC29B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11A"/>
    <w:pPr>
      <w:keepNext/>
      <w:spacing w:after="0" w:line="240" w:lineRule="auto"/>
      <w:jc w:val="center"/>
      <w:outlineLvl w:val="0"/>
    </w:pPr>
    <w:rPr>
      <w:rFonts w:ascii=".VnArial NarrowH" w:eastAsia="Times New Roman" w:hAnsi=".VnArial NarrowH" w:cs="Times New Roman"/>
      <w:b/>
      <w:sz w:val="28"/>
      <w:szCs w:val="26"/>
      <w:lang w:eastAsia="vi-VN"/>
    </w:rPr>
  </w:style>
  <w:style w:type="paragraph" w:styleId="Heading2">
    <w:name w:val="heading 2"/>
    <w:basedOn w:val="Normal"/>
    <w:next w:val="Normal"/>
    <w:link w:val="Heading2Char"/>
    <w:uiPriority w:val="9"/>
    <w:qFormat/>
    <w:rsid w:val="00FA211A"/>
    <w:pPr>
      <w:keepNext/>
      <w:spacing w:after="0" w:line="240" w:lineRule="auto"/>
      <w:ind w:firstLine="720"/>
      <w:jc w:val="both"/>
      <w:outlineLvl w:val="1"/>
    </w:pPr>
    <w:rPr>
      <w:rFonts w:ascii=".VnTime" w:eastAsia="Times New Roman" w:hAnsi=".VnTime" w:cs="Times New Roman"/>
      <w:b/>
      <w:i/>
      <w:sz w:val="28"/>
      <w:szCs w:val="28"/>
      <w:lang w:eastAsia="vi-VN"/>
    </w:rPr>
  </w:style>
  <w:style w:type="paragraph" w:styleId="Heading3">
    <w:name w:val="heading 3"/>
    <w:basedOn w:val="Normal"/>
    <w:next w:val="Normal"/>
    <w:link w:val="Heading3Char"/>
    <w:uiPriority w:val="9"/>
    <w:qFormat/>
    <w:rsid w:val="00FA211A"/>
    <w:pPr>
      <w:keepNext/>
      <w:spacing w:after="0" w:line="240" w:lineRule="auto"/>
      <w:ind w:left="720" w:right="-29" w:firstLine="720"/>
      <w:jc w:val="both"/>
      <w:outlineLvl w:val="2"/>
    </w:pPr>
    <w:rPr>
      <w:rFonts w:ascii=".VnTime" w:eastAsia="Times New Roman" w:hAnsi=".VnTime" w:cs="Times New Roman"/>
      <w:sz w:val="28"/>
      <w:szCs w:val="28"/>
      <w:lang w:eastAsia="vi-VN"/>
    </w:rPr>
  </w:style>
  <w:style w:type="paragraph" w:styleId="Heading4">
    <w:name w:val="heading 4"/>
    <w:basedOn w:val="Normal"/>
    <w:next w:val="Normal"/>
    <w:link w:val="Heading4Char"/>
    <w:uiPriority w:val="9"/>
    <w:qFormat/>
    <w:rsid w:val="00FA211A"/>
    <w:pPr>
      <w:keepNext/>
      <w:spacing w:after="0" w:line="240" w:lineRule="auto"/>
      <w:jc w:val="both"/>
      <w:outlineLvl w:val="3"/>
    </w:pPr>
    <w:rPr>
      <w:rFonts w:ascii=".VnTime" w:eastAsia="Times New Roman" w:hAnsi=".VnTime" w:cs="Times New Roman"/>
      <w:b/>
      <w:sz w:val="28"/>
      <w:szCs w:val="26"/>
      <w:lang w:eastAsia="vi-VN"/>
    </w:rPr>
  </w:style>
  <w:style w:type="paragraph" w:styleId="Heading5">
    <w:name w:val="heading 5"/>
    <w:basedOn w:val="Normal"/>
    <w:next w:val="Normal"/>
    <w:link w:val="Heading5Char"/>
    <w:uiPriority w:val="9"/>
    <w:qFormat/>
    <w:rsid w:val="00FA211A"/>
    <w:pPr>
      <w:keepNext/>
      <w:spacing w:after="0" w:line="240" w:lineRule="auto"/>
      <w:ind w:left="720" w:firstLine="700"/>
      <w:jc w:val="both"/>
      <w:outlineLvl w:val="4"/>
    </w:pPr>
    <w:rPr>
      <w:rFonts w:ascii=".VnTime" w:eastAsia="Times New Roman" w:hAnsi=".VnTime" w:cs="Times New Roman"/>
      <w:sz w:val="28"/>
      <w:szCs w:val="28"/>
      <w:lang w:eastAsia="vi-VN"/>
    </w:rPr>
  </w:style>
  <w:style w:type="paragraph" w:styleId="Heading6">
    <w:name w:val="heading 6"/>
    <w:basedOn w:val="Normal"/>
    <w:next w:val="Normal"/>
    <w:link w:val="Heading6Char"/>
    <w:uiPriority w:val="9"/>
    <w:qFormat/>
    <w:rsid w:val="00FA211A"/>
    <w:pPr>
      <w:keepNext/>
      <w:spacing w:after="0" w:line="240" w:lineRule="auto"/>
      <w:jc w:val="center"/>
      <w:outlineLvl w:val="5"/>
    </w:pPr>
    <w:rPr>
      <w:rFonts w:eastAsia="Times New Roman" w:cs="Times New Roman"/>
      <w:b/>
      <w:sz w:val="26"/>
      <w:szCs w:val="26"/>
      <w:lang w:val="nl-NL" w:eastAsia="vi-VN"/>
    </w:rPr>
  </w:style>
  <w:style w:type="paragraph" w:styleId="Heading7">
    <w:name w:val="heading 7"/>
    <w:basedOn w:val="Normal"/>
    <w:next w:val="Normal"/>
    <w:link w:val="Heading7Char"/>
    <w:uiPriority w:val="9"/>
    <w:qFormat/>
    <w:rsid w:val="00FA211A"/>
    <w:pPr>
      <w:keepNext/>
      <w:spacing w:before="120" w:after="120" w:line="240" w:lineRule="auto"/>
      <w:ind w:firstLine="700"/>
      <w:jc w:val="both"/>
      <w:outlineLvl w:val="6"/>
    </w:pPr>
    <w:rPr>
      <w:rFonts w:ascii=".VnTime" w:eastAsia="Times New Roman" w:hAnsi=".VnTime" w:cs="Times New Roman"/>
      <w:sz w:val="28"/>
      <w:szCs w:val="28"/>
      <w:lang w:eastAsia="vi-VN"/>
    </w:rPr>
  </w:style>
  <w:style w:type="paragraph" w:styleId="Heading8">
    <w:name w:val="heading 8"/>
    <w:basedOn w:val="Normal"/>
    <w:next w:val="Normal"/>
    <w:link w:val="Heading8Char"/>
    <w:uiPriority w:val="9"/>
    <w:qFormat/>
    <w:rsid w:val="00FA211A"/>
    <w:pPr>
      <w:keepNext/>
      <w:spacing w:after="0" w:line="240" w:lineRule="auto"/>
      <w:jc w:val="both"/>
      <w:outlineLvl w:val="7"/>
    </w:pPr>
    <w:rPr>
      <w:rFonts w:ascii=".VnTime" w:eastAsia="Times New Roman" w:hAnsi=".VnTime" w:cs="Times New Roman"/>
      <w:sz w:val="28"/>
      <w:szCs w:val="28"/>
      <w:lang w:eastAsia="vi-VN"/>
    </w:rPr>
  </w:style>
  <w:style w:type="paragraph" w:styleId="Heading9">
    <w:name w:val="heading 9"/>
    <w:basedOn w:val="Normal"/>
    <w:next w:val="Normal"/>
    <w:link w:val="Heading9Char"/>
    <w:uiPriority w:val="9"/>
    <w:qFormat/>
    <w:rsid w:val="00FA211A"/>
    <w:pPr>
      <w:keepNext/>
      <w:spacing w:before="100" w:beforeAutospacing="1" w:after="0" w:line="240" w:lineRule="auto"/>
      <w:ind w:left="420" w:hanging="420"/>
      <w:jc w:val="both"/>
      <w:outlineLvl w:val="8"/>
    </w:pPr>
    <w:rPr>
      <w:rFonts w:ascii=".VnTimeH" w:eastAsia="Times New Roman" w:hAnsi=".VnTimeH" w:cs="Times New Roman"/>
      <w:b/>
      <w:b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11A"/>
    <w:rPr>
      <w:rFonts w:ascii=".VnArial NarrowH" w:eastAsia="Times New Roman" w:hAnsi=".VnArial NarrowH" w:cs="Times New Roman"/>
      <w:b/>
      <w:sz w:val="28"/>
      <w:szCs w:val="26"/>
      <w:lang w:eastAsia="vi-VN"/>
    </w:rPr>
  </w:style>
  <w:style w:type="character" w:customStyle="1" w:styleId="Heading2Char">
    <w:name w:val="Heading 2 Char"/>
    <w:basedOn w:val="DefaultParagraphFont"/>
    <w:link w:val="Heading2"/>
    <w:uiPriority w:val="9"/>
    <w:rsid w:val="00FA211A"/>
    <w:rPr>
      <w:rFonts w:ascii=".VnTime" w:eastAsia="Times New Roman" w:hAnsi=".VnTime" w:cs="Times New Roman"/>
      <w:b/>
      <w:i/>
      <w:sz w:val="28"/>
      <w:szCs w:val="28"/>
      <w:lang w:eastAsia="vi-VN"/>
    </w:rPr>
  </w:style>
  <w:style w:type="character" w:customStyle="1" w:styleId="Heading3Char">
    <w:name w:val="Heading 3 Char"/>
    <w:basedOn w:val="DefaultParagraphFont"/>
    <w:link w:val="Heading3"/>
    <w:uiPriority w:val="9"/>
    <w:rsid w:val="00FA211A"/>
    <w:rPr>
      <w:rFonts w:ascii=".VnTime" w:eastAsia="Times New Roman" w:hAnsi=".VnTime" w:cs="Times New Roman"/>
      <w:sz w:val="28"/>
      <w:szCs w:val="28"/>
      <w:lang w:eastAsia="vi-VN"/>
    </w:rPr>
  </w:style>
  <w:style w:type="character" w:customStyle="1" w:styleId="Heading4Char">
    <w:name w:val="Heading 4 Char"/>
    <w:basedOn w:val="DefaultParagraphFont"/>
    <w:link w:val="Heading4"/>
    <w:uiPriority w:val="9"/>
    <w:rsid w:val="00FA211A"/>
    <w:rPr>
      <w:rFonts w:ascii=".VnTime" w:eastAsia="Times New Roman" w:hAnsi=".VnTime" w:cs="Times New Roman"/>
      <w:b/>
      <w:sz w:val="28"/>
      <w:szCs w:val="26"/>
      <w:lang w:eastAsia="vi-VN"/>
    </w:rPr>
  </w:style>
  <w:style w:type="character" w:customStyle="1" w:styleId="Heading5Char">
    <w:name w:val="Heading 5 Char"/>
    <w:basedOn w:val="DefaultParagraphFont"/>
    <w:link w:val="Heading5"/>
    <w:uiPriority w:val="9"/>
    <w:rsid w:val="00FA211A"/>
    <w:rPr>
      <w:rFonts w:ascii=".VnTime" w:eastAsia="Times New Roman" w:hAnsi=".VnTime" w:cs="Times New Roman"/>
      <w:sz w:val="28"/>
      <w:szCs w:val="28"/>
      <w:lang w:eastAsia="vi-VN"/>
    </w:rPr>
  </w:style>
  <w:style w:type="character" w:customStyle="1" w:styleId="Heading6Char">
    <w:name w:val="Heading 6 Char"/>
    <w:basedOn w:val="DefaultParagraphFont"/>
    <w:link w:val="Heading6"/>
    <w:uiPriority w:val="9"/>
    <w:rsid w:val="00FA211A"/>
    <w:rPr>
      <w:rFonts w:eastAsia="Times New Roman" w:cs="Times New Roman"/>
      <w:b/>
      <w:sz w:val="26"/>
      <w:szCs w:val="26"/>
      <w:lang w:val="nl-NL" w:eastAsia="vi-VN"/>
    </w:rPr>
  </w:style>
  <w:style w:type="character" w:customStyle="1" w:styleId="Heading7Char">
    <w:name w:val="Heading 7 Char"/>
    <w:basedOn w:val="DefaultParagraphFont"/>
    <w:link w:val="Heading7"/>
    <w:uiPriority w:val="9"/>
    <w:rsid w:val="00FA211A"/>
    <w:rPr>
      <w:rFonts w:ascii=".VnTime" w:eastAsia="Times New Roman" w:hAnsi=".VnTime" w:cs="Times New Roman"/>
      <w:sz w:val="28"/>
      <w:szCs w:val="28"/>
      <w:lang w:eastAsia="vi-VN"/>
    </w:rPr>
  </w:style>
  <w:style w:type="character" w:customStyle="1" w:styleId="Heading8Char">
    <w:name w:val="Heading 8 Char"/>
    <w:basedOn w:val="DefaultParagraphFont"/>
    <w:link w:val="Heading8"/>
    <w:uiPriority w:val="9"/>
    <w:rsid w:val="00FA211A"/>
    <w:rPr>
      <w:rFonts w:ascii=".VnTime" w:eastAsia="Times New Roman" w:hAnsi=".VnTime" w:cs="Times New Roman"/>
      <w:sz w:val="28"/>
      <w:szCs w:val="28"/>
      <w:lang w:eastAsia="vi-VN"/>
    </w:rPr>
  </w:style>
  <w:style w:type="character" w:customStyle="1" w:styleId="Heading9Char">
    <w:name w:val="Heading 9 Char"/>
    <w:basedOn w:val="DefaultParagraphFont"/>
    <w:link w:val="Heading9"/>
    <w:uiPriority w:val="9"/>
    <w:rsid w:val="00FA211A"/>
    <w:rPr>
      <w:rFonts w:ascii=".VnTimeH" w:eastAsia="Times New Roman" w:hAnsi=".VnTimeH" w:cs="Times New Roman"/>
      <w:b/>
      <w:bCs/>
      <w:szCs w:val="24"/>
      <w:lang w:eastAsia="vi-VN"/>
    </w:rPr>
  </w:style>
  <w:style w:type="paragraph" w:customStyle="1" w:styleId="msonormal0">
    <w:name w:val="msonormal"/>
    <w:basedOn w:val="Normal"/>
    <w:rsid w:val="00FA211A"/>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FA211A"/>
    <w:pPr>
      <w:tabs>
        <w:tab w:val="center" w:pos="4320"/>
        <w:tab w:val="right" w:pos="8640"/>
      </w:tabs>
      <w:spacing w:after="0" w:line="240" w:lineRule="auto"/>
    </w:pPr>
    <w:rPr>
      <w:rFonts w:eastAsia="Times New Roman" w:cs="Times New Roman"/>
      <w:sz w:val="26"/>
      <w:szCs w:val="26"/>
      <w:lang w:eastAsia="vi-VN"/>
    </w:rPr>
  </w:style>
  <w:style w:type="character" w:customStyle="1" w:styleId="HeaderChar">
    <w:name w:val="Header Char"/>
    <w:basedOn w:val="DefaultParagraphFont"/>
    <w:link w:val="Header"/>
    <w:uiPriority w:val="99"/>
    <w:semiHidden/>
    <w:rsid w:val="00FA211A"/>
    <w:rPr>
      <w:rFonts w:eastAsia="Times New Roman" w:cs="Times New Roman"/>
      <w:sz w:val="26"/>
      <w:szCs w:val="26"/>
      <w:lang w:eastAsia="vi-VN"/>
    </w:rPr>
  </w:style>
  <w:style w:type="paragraph" w:styleId="Footer">
    <w:name w:val="footer"/>
    <w:basedOn w:val="Normal"/>
    <w:link w:val="FooterChar"/>
    <w:uiPriority w:val="99"/>
    <w:semiHidden/>
    <w:unhideWhenUsed/>
    <w:rsid w:val="00FA211A"/>
    <w:pPr>
      <w:tabs>
        <w:tab w:val="center" w:pos="4320"/>
        <w:tab w:val="right" w:pos="8640"/>
      </w:tabs>
      <w:spacing w:after="0" w:line="240" w:lineRule="auto"/>
    </w:pPr>
    <w:rPr>
      <w:rFonts w:eastAsia="Times New Roman" w:cs="Times New Roman"/>
      <w:sz w:val="26"/>
      <w:szCs w:val="26"/>
      <w:lang w:eastAsia="vi-VN"/>
    </w:rPr>
  </w:style>
  <w:style w:type="character" w:customStyle="1" w:styleId="FooterChar">
    <w:name w:val="Footer Char"/>
    <w:basedOn w:val="DefaultParagraphFont"/>
    <w:link w:val="Footer"/>
    <w:uiPriority w:val="99"/>
    <w:semiHidden/>
    <w:rsid w:val="00FA211A"/>
    <w:rPr>
      <w:rFonts w:eastAsia="Times New Roman" w:cs="Times New Roman"/>
      <w:sz w:val="26"/>
      <w:szCs w:val="26"/>
      <w:lang w:eastAsia="vi-VN"/>
    </w:rPr>
  </w:style>
  <w:style w:type="paragraph" w:styleId="Caption">
    <w:name w:val="caption"/>
    <w:basedOn w:val="Normal"/>
    <w:next w:val="Normal"/>
    <w:uiPriority w:val="35"/>
    <w:qFormat/>
    <w:rsid w:val="00FA211A"/>
    <w:pPr>
      <w:autoSpaceDE w:val="0"/>
      <w:autoSpaceDN w:val="0"/>
      <w:spacing w:after="0" w:line="240" w:lineRule="auto"/>
      <w:jc w:val="center"/>
    </w:pPr>
    <w:rPr>
      <w:rFonts w:ascii=".VnTime" w:eastAsia="Times New Roman" w:hAnsi=".VnTime" w:cs=".VnTime"/>
      <w:b/>
      <w:bCs/>
      <w:color w:val="000000"/>
      <w:sz w:val="28"/>
      <w:szCs w:val="28"/>
      <w:lang w:eastAsia="vi-VN"/>
    </w:rPr>
  </w:style>
  <w:style w:type="paragraph" w:styleId="Title">
    <w:name w:val="Title"/>
    <w:basedOn w:val="Normal"/>
    <w:link w:val="TitleChar"/>
    <w:uiPriority w:val="10"/>
    <w:qFormat/>
    <w:rsid w:val="00FA211A"/>
    <w:pPr>
      <w:spacing w:after="0" w:line="240" w:lineRule="auto"/>
      <w:jc w:val="center"/>
    </w:pPr>
    <w:rPr>
      <w:rFonts w:ascii=".VnArialH" w:eastAsia="Times New Roman" w:hAnsi=".VnArialH" w:cs="Times New Roman"/>
      <w:b/>
      <w:bCs/>
      <w:sz w:val="28"/>
      <w:szCs w:val="24"/>
      <w:lang w:eastAsia="vi-VN"/>
    </w:rPr>
  </w:style>
  <w:style w:type="character" w:customStyle="1" w:styleId="TitleChar">
    <w:name w:val="Title Char"/>
    <w:basedOn w:val="DefaultParagraphFont"/>
    <w:link w:val="Title"/>
    <w:uiPriority w:val="10"/>
    <w:rsid w:val="00FA211A"/>
    <w:rPr>
      <w:rFonts w:ascii=".VnArialH" w:eastAsia="Times New Roman" w:hAnsi=".VnArialH" w:cs="Times New Roman"/>
      <w:b/>
      <w:bCs/>
      <w:sz w:val="28"/>
      <w:szCs w:val="24"/>
      <w:lang w:eastAsia="vi-VN"/>
    </w:rPr>
  </w:style>
  <w:style w:type="paragraph" w:styleId="BodyText">
    <w:name w:val="Body Text"/>
    <w:basedOn w:val="Normal"/>
    <w:link w:val="BodyTextChar"/>
    <w:uiPriority w:val="99"/>
    <w:semiHidden/>
    <w:unhideWhenUsed/>
    <w:rsid w:val="00FA211A"/>
    <w:pPr>
      <w:spacing w:after="0" w:line="240" w:lineRule="auto"/>
      <w:jc w:val="both"/>
    </w:pPr>
    <w:rPr>
      <w:rFonts w:ascii=".VnTime" w:eastAsia="Times New Roman" w:hAnsi=".VnTime" w:cs="Times New Roman"/>
      <w:sz w:val="28"/>
      <w:szCs w:val="26"/>
      <w:lang w:eastAsia="vi-VN"/>
    </w:rPr>
  </w:style>
  <w:style w:type="character" w:customStyle="1" w:styleId="BodyTextChar">
    <w:name w:val="Body Text Char"/>
    <w:basedOn w:val="DefaultParagraphFont"/>
    <w:link w:val="BodyText"/>
    <w:uiPriority w:val="99"/>
    <w:semiHidden/>
    <w:rsid w:val="00FA211A"/>
    <w:rPr>
      <w:rFonts w:ascii=".VnTime" w:eastAsia="Times New Roman" w:hAnsi=".VnTime" w:cs="Times New Roman"/>
      <w:sz w:val="28"/>
      <w:szCs w:val="26"/>
      <w:lang w:eastAsia="vi-VN"/>
    </w:rPr>
  </w:style>
  <w:style w:type="paragraph" w:styleId="BodyTextIndent">
    <w:name w:val="Body Text Indent"/>
    <w:basedOn w:val="Normal"/>
    <w:link w:val="BodyTextIndentChar"/>
    <w:uiPriority w:val="99"/>
    <w:semiHidden/>
    <w:unhideWhenUsed/>
    <w:rsid w:val="00FA211A"/>
    <w:pPr>
      <w:spacing w:after="0" w:line="240" w:lineRule="auto"/>
      <w:ind w:left="720"/>
      <w:jc w:val="both"/>
    </w:pPr>
    <w:rPr>
      <w:rFonts w:ascii=".VnTime" w:eastAsia="Times New Roman" w:hAnsi=".VnTime" w:cs="Times New Roman"/>
      <w:b/>
      <w:sz w:val="26"/>
      <w:szCs w:val="26"/>
      <w:lang w:eastAsia="vi-VN"/>
    </w:rPr>
  </w:style>
  <w:style w:type="character" w:customStyle="1" w:styleId="BodyTextIndentChar">
    <w:name w:val="Body Text Indent Char"/>
    <w:basedOn w:val="DefaultParagraphFont"/>
    <w:link w:val="BodyTextIndent"/>
    <w:uiPriority w:val="99"/>
    <w:semiHidden/>
    <w:rsid w:val="00FA211A"/>
    <w:rPr>
      <w:rFonts w:ascii=".VnTime" w:eastAsia="Times New Roman" w:hAnsi=".VnTime" w:cs="Times New Roman"/>
      <w:b/>
      <w:sz w:val="26"/>
      <w:szCs w:val="26"/>
      <w:lang w:eastAsia="vi-VN"/>
    </w:rPr>
  </w:style>
  <w:style w:type="paragraph" w:styleId="BodyText2">
    <w:name w:val="Body Text 2"/>
    <w:basedOn w:val="Normal"/>
    <w:link w:val="BodyText2Char"/>
    <w:uiPriority w:val="99"/>
    <w:semiHidden/>
    <w:unhideWhenUsed/>
    <w:rsid w:val="00FA211A"/>
    <w:pPr>
      <w:spacing w:after="0" w:line="240" w:lineRule="auto"/>
      <w:jc w:val="both"/>
    </w:pPr>
    <w:rPr>
      <w:rFonts w:ascii=".VnTime" w:eastAsia="Times New Roman" w:hAnsi=".VnTime" w:cs="Times New Roman"/>
      <w:sz w:val="26"/>
      <w:szCs w:val="26"/>
      <w:lang w:eastAsia="vi-VN"/>
    </w:rPr>
  </w:style>
  <w:style w:type="character" w:customStyle="1" w:styleId="BodyText2Char">
    <w:name w:val="Body Text 2 Char"/>
    <w:basedOn w:val="DefaultParagraphFont"/>
    <w:link w:val="BodyText2"/>
    <w:uiPriority w:val="99"/>
    <w:semiHidden/>
    <w:rsid w:val="00FA211A"/>
    <w:rPr>
      <w:rFonts w:ascii=".VnTime" w:eastAsia="Times New Roman" w:hAnsi=".VnTime" w:cs="Times New Roman"/>
      <w:sz w:val="26"/>
      <w:szCs w:val="26"/>
      <w:lang w:eastAsia="vi-VN"/>
    </w:rPr>
  </w:style>
  <w:style w:type="paragraph" w:styleId="BodyText3">
    <w:name w:val="Body Text 3"/>
    <w:basedOn w:val="Normal"/>
    <w:link w:val="BodyText3Char"/>
    <w:uiPriority w:val="99"/>
    <w:semiHidden/>
    <w:unhideWhenUsed/>
    <w:rsid w:val="00FA211A"/>
    <w:pPr>
      <w:spacing w:after="0" w:line="240" w:lineRule="auto"/>
      <w:jc w:val="both"/>
    </w:pPr>
    <w:rPr>
      <w:rFonts w:ascii=".VnTime" w:eastAsia="Times New Roman" w:hAnsi=".VnTime" w:cs="Times New Roman"/>
      <w:b/>
      <w:sz w:val="26"/>
      <w:szCs w:val="26"/>
      <w:lang w:eastAsia="vi-VN"/>
    </w:rPr>
  </w:style>
  <w:style w:type="character" w:customStyle="1" w:styleId="BodyText3Char">
    <w:name w:val="Body Text 3 Char"/>
    <w:basedOn w:val="DefaultParagraphFont"/>
    <w:link w:val="BodyText3"/>
    <w:uiPriority w:val="99"/>
    <w:semiHidden/>
    <w:rsid w:val="00FA211A"/>
    <w:rPr>
      <w:rFonts w:ascii=".VnTime" w:eastAsia="Times New Roman" w:hAnsi=".VnTime" w:cs="Times New Roman"/>
      <w:b/>
      <w:sz w:val="26"/>
      <w:szCs w:val="26"/>
      <w:lang w:eastAsia="vi-VN"/>
    </w:rPr>
  </w:style>
  <w:style w:type="paragraph" w:styleId="BodyTextIndent2">
    <w:name w:val="Body Text Indent 2"/>
    <w:basedOn w:val="Normal"/>
    <w:link w:val="BodyTextIndent2Char"/>
    <w:uiPriority w:val="99"/>
    <w:semiHidden/>
    <w:unhideWhenUsed/>
    <w:rsid w:val="00FA211A"/>
    <w:pPr>
      <w:spacing w:after="0" w:line="240" w:lineRule="auto"/>
      <w:ind w:left="312"/>
      <w:jc w:val="both"/>
    </w:pPr>
    <w:rPr>
      <w:rFonts w:ascii=".VnTime" w:eastAsia="Times New Roman" w:hAnsi=".VnTime" w:cs="Times New Roman"/>
      <w:b/>
      <w:sz w:val="26"/>
      <w:szCs w:val="26"/>
      <w:lang w:eastAsia="vi-VN"/>
    </w:rPr>
  </w:style>
  <w:style w:type="character" w:customStyle="1" w:styleId="BodyTextIndent2Char">
    <w:name w:val="Body Text Indent 2 Char"/>
    <w:basedOn w:val="DefaultParagraphFont"/>
    <w:link w:val="BodyTextIndent2"/>
    <w:uiPriority w:val="99"/>
    <w:semiHidden/>
    <w:rsid w:val="00FA211A"/>
    <w:rPr>
      <w:rFonts w:ascii=".VnTime" w:eastAsia="Times New Roman" w:hAnsi=".VnTime" w:cs="Times New Roman"/>
      <w:b/>
      <w:sz w:val="26"/>
      <w:szCs w:val="26"/>
      <w:lang w:eastAsia="vi-VN"/>
    </w:rPr>
  </w:style>
  <w:style w:type="paragraph" w:styleId="BodyTextIndent3">
    <w:name w:val="Body Text Indent 3"/>
    <w:basedOn w:val="Normal"/>
    <w:link w:val="BodyTextIndent3Char"/>
    <w:uiPriority w:val="99"/>
    <w:semiHidden/>
    <w:unhideWhenUsed/>
    <w:rsid w:val="00FA211A"/>
    <w:pPr>
      <w:spacing w:after="0" w:line="240" w:lineRule="auto"/>
      <w:ind w:left="312"/>
      <w:jc w:val="both"/>
    </w:pPr>
    <w:rPr>
      <w:rFonts w:ascii=".VnTime" w:eastAsia="Times New Roman" w:hAnsi=".VnTime" w:cs="Times New Roman"/>
      <w:sz w:val="26"/>
      <w:szCs w:val="26"/>
      <w:lang w:eastAsia="vi-VN"/>
    </w:rPr>
  </w:style>
  <w:style w:type="character" w:customStyle="1" w:styleId="BodyTextIndent3Char">
    <w:name w:val="Body Text Indent 3 Char"/>
    <w:basedOn w:val="DefaultParagraphFont"/>
    <w:link w:val="BodyTextIndent3"/>
    <w:uiPriority w:val="99"/>
    <w:semiHidden/>
    <w:rsid w:val="00FA211A"/>
    <w:rPr>
      <w:rFonts w:ascii=".VnTime" w:eastAsia="Times New Roman" w:hAnsi=".VnTime" w:cs="Times New Roman"/>
      <w:sz w:val="26"/>
      <w:szCs w:val="26"/>
      <w:lang w:eastAsia="vi-VN"/>
    </w:rPr>
  </w:style>
  <w:style w:type="paragraph" w:styleId="BalloonText">
    <w:name w:val="Balloon Text"/>
    <w:basedOn w:val="Normal"/>
    <w:link w:val="BalloonTextChar"/>
    <w:uiPriority w:val="99"/>
    <w:semiHidden/>
    <w:unhideWhenUsed/>
    <w:rsid w:val="00FA211A"/>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FA211A"/>
    <w:rPr>
      <w:rFonts w:ascii="Tahoma" w:eastAsia="Times New Roman" w:hAnsi="Tahoma" w:cs="Tahoma"/>
      <w:sz w:val="16"/>
      <w:szCs w:val="16"/>
      <w:lang w:eastAsia="vi-VN"/>
    </w:rPr>
  </w:style>
  <w:style w:type="paragraph" w:customStyle="1" w:styleId="THAN">
    <w:name w:val="THAN"/>
    <w:basedOn w:val="Normal"/>
    <w:rsid w:val="00FA211A"/>
    <w:pPr>
      <w:spacing w:before="120" w:after="0" w:line="400" w:lineRule="exact"/>
      <w:ind w:firstLine="720"/>
      <w:jc w:val="both"/>
    </w:pPr>
    <w:rPr>
      <w:rFonts w:ascii=".VnTime" w:eastAsia="Times New Roman" w:hAnsi=".VnTime" w:cs="Times New Roman"/>
      <w:sz w:val="28"/>
      <w:szCs w:val="26"/>
      <w:lang w:eastAsia="vi-VN"/>
    </w:rPr>
  </w:style>
  <w:style w:type="character" w:customStyle="1" w:styleId="1chinhtrangChar1CharCharCharCharCharCharCharChar">
    <w:name w:val="1 chinh trang Char1 Char Char Char Char Char Char Char Char"/>
    <w:basedOn w:val="DefaultParagraphFont"/>
    <w:link w:val="1chinhtrangChar1CharCharCharCharCharCharChar"/>
    <w:locked/>
    <w:rsid w:val="00FA211A"/>
    <w:rPr>
      <w:rFonts w:ascii=".VnCentury Schoolbook" w:hAnsi=".VnCentury Schoolbook"/>
      <w:color w:val="000000"/>
      <w:sz w:val="22"/>
      <w:lang w:val="en-US"/>
    </w:rPr>
  </w:style>
  <w:style w:type="paragraph" w:customStyle="1" w:styleId="1chinhtrangChar1CharCharCharCharCharCharChar">
    <w:name w:val="1 chinh trang Char1 Char Char Char Char Char Char Char"/>
    <w:basedOn w:val="Normal"/>
    <w:link w:val="1chinhtrangChar1CharCharCharCharCharCharCharChar"/>
    <w:rsid w:val="00FA211A"/>
    <w:pPr>
      <w:widowControl w:val="0"/>
      <w:spacing w:before="60" w:after="60" w:line="264" w:lineRule="auto"/>
      <w:ind w:firstLine="567"/>
      <w:jc w:val="both"/>
    </w:pPr>
    <w:rPr>
      <w:rFonts w:ascii=".VnCentury Schoolbook" w:hAnsi=".VnCentury Schoolbook"/>
      <w:color w:val="000000"/>
      <w:sz w:val="22"/>
      <w:lang w:val="en-US"/>
    </w:rPr>
  </w:style>
  <w:style w:type="character" w:customStyle="1" w:styleId="cChar1CharCharCharCharCharCharCharCharChar">
    <w:name w:val="c Char1 Char Char Char Char Char Char Char Char Char"/>
    <w:basedOn w:val="DefaultParagraphFont"/>
    <w:link w:val="cChar1CharCharCharCharCharCharCharChar"/>
    <w:locked/>
    <w:rsid w:val="00FA211A"/>
    <w:rPr>
      <w:rFonts w:ascii=".VnCentury Schoolbook" w:hAnsi=".VnCentury Schoolbook"/>
      <w:color w:val="000000"/>
      <w:sz w:val="22"/>
      <w:lang w:val="en-US"/>
    </w:rPr>
  </w:style>
  <w:style w:type="paragraph" w:customStyle="1" w:styleId="cChar1CharCharCharCharCharCharCharChar">
    <w:name w:val="c Char1 Char Char Char Char Char Char Char Char"/>
    <w:basedOn w:val="Normal"/>
    <w:link w:val="cChar1CharCharCharCharCharCharCharCharChar"/>
    <w:rsid w:val="00FA211A"/>
    <w:pPr>
      <w:widowControl w:val="0"/>
      <w:spacing w:before="60" w:after="60" w:line="264" w:lineRule="auto"/>
      <w:ind w:left="2438" w:hanging="1361"/>
      <w:jc w:val="both"/>
    </w:pPr>
    <w:rPr>
      <w:rFonts w:ascii=".VnCentury Schoolbook" w:hAnsi=".VnCentury Schoolbook"/>
      <w:color w:val="000000"/>
      <w:sz w:val="22"/>
      <w:lang w:val="en-US"/>
    </w:rPr>
  </w:style>
  <w:style w:type="character" w:customStyle="1" w:styleId="nCharCharCharCharCharCharCharChar">
    <w:name w:val="n Char Char Char Char Char Char Char Char"/>
    <w:basedOn w:val="DefaultParagraphFont"/>
    <w:link w:val="nCharCharCharCharCharCharChar"/>
    <w:locked/>
    <w:rsid w:val="00FA211A"/>
    <w:rPr>
      <w:rFonts w:ascii=".VnCentury Schoolbook" w:hAnsi=".VnCentury Schoolbook"/>
      <w:color w:val="000000"/>
      <w:sz w:val="22"/>
      <w:lang w:val="en-US"/>
    </w:rPr>
  </w:style>
  <w:style w:type="paragraph" w:customStyle="1" w:styleId="nCharCharCharCharCharCharChar">
    <w:name w:val="n Char Char Char Char Char Char Char"/>
    <w:basedOn w:val="1chinhtrangChar1CharCharCharCharCharCharChar"/>
    <w:link w:val="nCharCharCharCharCharCharCharChar"/>
    <w:rsid w:val="00FA211A"/>
    <w:pPr>
      <w:ind w:left="1928" w:hanging="1361"/>
    </w:pPr>
  </w:style>
  <w:style w:type="paragraph" w:customStyle="1" w:styleId="n-dieund">
    <w:name w:val="n-dieund"/>
    <w:basedOn w:val="Normal"/>
    <w:rsid w:val="00FA211A"/>
    <w:pPr>
      <w:spacing w:after="120" w:line="240" w:lineRule="auto"/>
      <w:ind w:firstLine="709"/>
      <w:jc w:val="both"/>
    </w:pPr>
    <w:rPr>
      <w:rFonts w:ascii=".VnTime" w:eastAsia="Times New Roman" w:hAnsi=".VnTime" w:cs="Times New Roman"/>
      <w:sz w:val="28"/>
      <w:szCs w:val="26"/>
      <w:lang w:eastAsia="vi-VN"/>
    </w:rPr>
  </w:style>
  <w:style w:type="paragraph" w:customStyle="1" w:styleId="tu1">
    <w:name w:val="tu1"/>
    <w:basedOn w:val="Normal"/>
    <w:rsid w:val="00FA211A"/>
    <w:pPr>
      <w:tabs>
        <w:tab w:val="left" w:pos="567"/>
      </w:tabs>
      <w:spacing w:after="0" w:line="240" w:lineRule="auto"/>
      <w:ind w:left="426" w:hanging="426"/>
      <w:jc w:val="both"/>
    </w:pPr>
    <w:rPr>
      <w:rFonts w:ascii=".VnTime" w:eastAsia="Times New Roman" w:hAnsi=".VnTime" w:cs="Times New Roman"/>
      <w:sz w:val="22"/>
      <w:szCs w:val="26"/>
      <w:lang w:val="en-GB" w:eastAsia="vi-VN"/>
    </w:rPr>
  </w:style>
  <w:style w:type="paragraph" w:customStyle="1" w:styleId="1chinhtrangChar1CharChar">
    <w:name w:val="1 chinh trang Char1 Char Char"/>
    <w:basedOn w:val="Normal"/>
    <w:rsid w:val="00FA211A"/>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cChar1CharCharChar">
    <w:name w:val="c Char1 Char Char Char"/>
    <w:basedOn w:val="Normal"/>
    <w:rsid w:val="00FA211A"/>
    <w:pPr>
      <w:widowControl w:val="0"/>
      <w:spacing w:before="60" w:after="60" w:line="264" w:lineRule="auto"/>
      <w:ind w:left="2438" w:hanging="1361"/>
      <w:jc w:val="both"/>
    </w:pPr>
    <w:rPr>
      <w:rFonts w:ascii=".VnCentury Schoolbook" w:eastAsia="Times New Roman" w:hAnsi=".VnCentury Schoolbook" w:cs="Times New Roman"/>
      <w:color w:val="000000"/>
      <w:sz w:val="22"/>
      <w:lang w:eastAsia="vi-VN"/>
    </w:rPr>
  </w:style>
  <w:style w:type="paragraph" w:customStyle="1" w:styleId="nCharChar">
    <w:name w:val="n Char Char"/>
    <w:basedOn w:val="1chinhtrangChar1CharChar"/>
    <w:rsid w:val="00FA211A"/>
    <w:pPr>
      <w:ind w:left="1928" w:hanging="1361"/>
    </w:pPr>
  </w:style>
  <w:style w:type="character" w:styleId="Hyperlink">
    <w:name w:val="Hyperlink"/>
    <w:basedOn w:val="DefaultParagraphFont"/>
    <w:uiPriority w:val="99"/>
    <w:semiHidden/>
    <w:unhideWhenUsed/>
    <w:rsid w:val="009B35DF"/>
    <w:rPr>
      <w:color w:val="0000FF"/>
      <w:u w:val="single"/>
    </w:rPr>
  </w:style>
  <w:style w:type="character" w:customStyle="1" w:styleId="DocumentMapChar">
    <w:name w:val="Document Map Char"/>
    <w:basedOn w:val="DefaultParagraphFont"/>
    <w:link w:val="DocumentMap"/>
    <w:uiPriority w:val="99"/>
    <w:semiHidden/>
    <w:rsid w:val="0058251D"/>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58251D"/>
    <w:pPr>
      <w:shd w:val="clear" w:color="auto" w:fill="000080"/>
      <w:spacing w:after="0" w:line="240" w:lineRule="auto"/>
    </w:pPr>
    <w:rPr>
      <w:rFonts w:ascii="Tahoma" w:eastAsia="Times New Roman" w:hAnsi="Tahoma" w:cs="Tahoma"/>
      <w:sz w:val="20"/>
      <w:szCs w:val="20"/>
      <w:lang w:eastAsia="vi-VN"/>
    </w:rPr>
  </w:style>
  <w:style w:type="character" w:customStyle="1" w:styleId="apple-converted-space">
    <w:name w:val="apple-converted-space"/>
    <w:basedOn w:val="DefaultParagraphFont"/>
    <w:rsid w:val="00975003"/>
  </w:style>
  <w:style w:type="character" w:styleId="FollowedHyperlink">
    <w:name w:val="FollowedHyperlink"/>
    <w:basedOn w:val="DefaultParagraphFont"/>
    <w:uiPriority w:val="99"/>
    <w:semiHidden/>
    <w:unhideWhenUsed/>
    <w:rsid w:val="0097500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3583">
      <w:bodyDiv w:val="1"/>
      <w:marLeft w:val="0"/>
      <w:marRight w:val="0"/>
      <w:marTop w:val="0"/>
      <w:marBottom w:val="0"/>
      <w:divBdr>
        <w:top w:val="none" w:sz="0" w:space="0" w:color="auto"/>
        <w:left w:val="none" w:sz="0" w:space="0" w:color="auto"/>
        <w:bottom w:val="none" w:sz="0" w:space="0" w:color="auto"/>
        <w:right w:val="none" w:sz="0" w:space="0" w:color="auto"/>
      </w:divBdr>
    </w:div>
    <w:div w:id="478884170">
      <w:bodyDiv w:val="1"/>
      <w:marLeft w:val="0"/>
      <w:marRight w:val="0"/>
      <w:marTop w:val="0"/>
      <w:marBottom w:val="0"/>
      <w:divBdr>
        <w:top w:val="none" w:sz="0" w:space="0" w:color="auto"/>
        <w:left w:val="none" w:sz="0" w:space="0" w:color="auto"/>
        <w:bottom w:val="none" w:sz="0" w:space="0" w:color="auto"/>
        <w:right w:val="none" w:sz="0" w:space="0" w:color="auto"/>
      </w:divBdr>
    </w:div>
    <w:div w:id="530653743">
      <w:bodyDiv w:val="1"/>
      <w:marLeft w:val="0"/>
      <w:marRight w:val="0"/>
      <w:marTop w:val="0"/>
      <w:marBottom w:val="0"/>
      <w:divBdr>
        <w:top w:val="none" w:sz="0" w:space="0" w:color="auto"/>
        <w:left w:val="none" w:sz="0" w:space="0" w:color="auto"/>
        <w:bottom w:val="none" w:sz="0" w:space="0" w:color="auto"/>
        <w:right w:val="none" w:sz="0" w:space="0" w:color="auto"/>
      </w:divBdr>
    </w:div>
    <w:div w:id="602499357">
      <w:bodyDiv w:val="1"/>
      <w:marLeft w:val="0"/>
      <w:marRight w:val="0"/>
      <w:marTop w:val="0"/>
      <w:marBottom w:val="0"/>
      <w:divBdr>
        <w:top w:val="none" w:sz="0" w:space="0" w:color="auto"/>
        <w:left w:val="none" w:sz="0" w:space="0" w:color="auto"/>
        <w:bottom w:val="none" w:sz="0" w:space="0" w:color="auto"/>
        <w:right w:val="none" w:sz="0" w:space="0" w:color="auto"/>
      </w:divBdr>
    </w:div>
    <w:div w:id="759957370">
      <w:bodyDiv w:val="1"/>
      <w:marLeft w:val="0"/>
      <w:marRight w:val="0"/>
      <w:marTop w:val="0"/>
      <w:marBottom w:val="0"/>
      <w:divBdr>
        <w:top w:val="none" w:sz="0" w:space="0" w:color="auto"/>
        <w:left w:val="none" w:sz="0" w:space="0" w:color="auto"/>
        <w:bottom w:val="none" w:sz="0" w:space="0" w:color="auto"/>
        <w:right w:val="none" w:sz="0" w:space="0" w:color="auto"/>
      </w:divBdr>
    </w:div>
    <w:div w:id="772360353">
      <w:bodyDiv w:val="1"/>
      <w:marLeft w:val="0"/>
      <w:marRight w:val="0"/>
      <w:marTop w:val="0"/>
      <w:marBottom w:val="0"/>
      <w:divBdr>
        <w:top w:val="none" w:sz="0" w:space="0" w:color="auto"/>
        <w:left w:val="none" w:sz="0" w:space="0" w:color="auto"/>
        <w:bottom w:val="none" w:sz="0" w:space="0" w:color="auto"/>
        <w:right w:val="none" w:sz="0" w:space="0" w:color="auto"/>
      </w:divBdr>
    </w:div>
    <w:div w:id="836964212">
      <w:bodyDiv w:val="1"/>
      <w:marLeft w:val="0"/>
      <w:marRight w:val="0"/>
      <w:marTop w:val="0"/>
      <w:marBottom w:val="0"/>
      <w:divBdr>
        <w:top w:val="none" w:sz="0" w:space="0" w:color="auto"/>
        <w:left w:val="none" w:sz="0" w:space="0" w:color="auto"/>
        <w:bottom w:val="none" w:sz="0" w:space="0" w:color="auto"/>
        <w:right w:val="none" w:sz="0" w:space="0" w:color="auto"/>
      </w:divBdr>
    </w:div>
    <w:div w:id="1044060888">
      <w:bodyDiv w:val="1"/>
      <w:marLeft w:val="0"/>
      <w:marRight w:val="0"/>
      <w:marTop w:val="0"/>
      <w:marBottom w:val="0"/>
      <w:divBdr>
        <w:top w:val="none" w:sz="0" w:space="0" w:color="auto"/>
        <w:left w:val="none" w:sz="0" w:space="0" w:color="auto"/>
        <w:bottom w:val="none" w:sz="0" w:space="0" w:color="auto"/>
        <w:right w:val="none" w:sz="0" w:space="0" w:color="auto"/>
      </w:divBdr>
    </w:div>
    <w:div w:id="1139105410">
      <w:bodyDiv w:val="1"/>
      <w:marLeft w:val="0"/>
      <w:marRight w:val="0"/>
      <w:marTop w:val="0"/>
      <w:marBottom w:val="0"/>
      <w:divBdr>
        <w:top w:val="none" w:sz="0" w:space="0" w:color="auto"/>
        <w:left w:val="none" w:sz="0" w:space="0" w:color="auto"/>
        <w:bottom w:val="none" w:sz="0" w:space="0" w:color="auto"/>
        <w:right w:val="none" w:sz="0" w:space="0" w:color="auto"/>
      </w:divBdr>
    </w:div>
    <w:div w:id="1291016547">
      <w:bodyDiv w:val="1"/>
      <w:marLeft w:val="0"/>
      <w:marRight w:val="0"/>
      <w:marTop w:val="0"/>
      <w:marBottom w:val="0"/>
      <w:divBdr>
        <w:top w:val="none" w:sz="0" w:space="0" w:color="auto"/>
        <w:left w:val="none" w:sz="0" w:space="0" w:color="auto"/>
        <w:bottom w:val="none" w:sz="0" w:space="0" w:color="auto"/>
        <w:right w:val="none" w:sz="0" w:space="0" w:color="auto"/>
      </w:divBdr>
    </w:div>
    <w:div w:id="1425229287">
      <w:bodyDiv w:val="1"/>
      <w:marLeft w:val="0"/>
      <w:marRight w:val="0"/>
      <w:marTop w:val="0"/>
      <w:marBottom w:val="0"/>
      <w:divBdr>
        <w:top w:val="none" w:sz="0" w:space="0" w:color="auto"/>
        <w:left w:val="none" w:sz="0" w:space="0" w:color="auto"/>
        <w:bottom w:val="none" w:sz="0" w:space="0" w:color="auto"/>
        <w:right w:val="none" w:sz="0" w:space="0" w:color="auto"/>
      </w:divBdr>
    </w:div>
    <w:div w:id="1774666419">
      <w:bodyDiv w:val="1"/>
      <w:marLeft w:val="0"/>
      <w:marRight w:val="0"/>
      <w:marTop w:val="0"/>
      <w:marBottom w:val="0"/>
      <w:divBdr>
        <w:top w:val="none" w:sz="0" w:space="0" w:color="auto"/>
        <w:left w:val="none" w:sz="0" w:space="0" w:color="auto"/>
        <w:bottom w:val="none" w:sz="0" w:space="0" w:color="auto"/>
        <w:right w:val="none" w:sz="0" w:space="0" w:color="auto"/>
      </w:divBdr>
    </w:div>
    <w:div w:id="2067409270">
      <w:bodyDiv w:val="1"/>
      <w:marLeft w:val="0"/>
      <w:marRight w:val="0"/>
      <w:marTop w:val="0"/>
      <w:marBottom w:val="0"/>
      <w:divBdr>
        <w:top w:val="none" w:sz="0" w:space="0" w:color="auto"/>
        <w:left w:val="none" w:sz="0" w:space="0" w:color="auto"/>
        <w:bottom w:val="none" w:sz="0" w:space="0" w:color="auto"/>
        <w:right w:val="none" w:sz="0" w:space="0" w:color="auto"/>
      </w:divBdr>
    </w:div>
    <w:div w:id="2107997717">
      <w:bodyDiv w:val="1"/>
      <w:marLeft w:val="0"/>
      <w:marRight w:val="0"/>
      <w:marTop w:val="0"/>
      <w:marBottom w:val="0"/>
      <w:divBdr>
        <w:top w:val="none" w:sz="0" w:space="0" w:color="auto"/>
        <w:left w:val="none" w:sz="0" w:space="0" w:color="auto"/>
        <w:bottom w:val="none" w:sz="0" w:space="0" w:color="auto"/>
        <w:right w:val="none" w:sz="0" w:space="0" w:color="auto"/>
      </w:divBdr>
    </w:div>
    <w:div w:id="2116359546">
      <w:bodyDiv w:val="1"/>
      <w:marLeft w:val="0"/>
      <w:marRight w:val="0"/>
      <w:marTop w:val="0"/>
      <w:marBottom w:val="0"/>
      <w:divBdr>
        <w:top w:val="none" w:sz="0" w:space="0" w:color="auto"/>
        <w:left w:val="none" w:sz="0" w:space="0" w:color="auto"/>
        <w:bottom w:val="none" w:sz="0" w:space="0" w:color="auto"/>
        <w:right w:val="none" w:sz="0" w:space="0" w:color="auto"/>
      </w:divBdr>
    </w:div>
    <w:div w:id="21398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2017-11-09T06:43:00Z</dcterms:created>
  <dcterms:modified xsi:type="dcterms:W3CDTF">2017-11-09T06:43:00Z</dcterms:modified>
</cp:coreProperties>
</file>